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45"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June 18, 2026</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CervoMed Inc.</w:t>
      </w:r>
    </w:p>
    <w:p>
      <w:pPr>
        <w:spacing w:after="0" w:line="47" w:lineRule="exact"/>
        <w:rPr>
          <w:sz w:val="24"/>
          <w:szCs w:val="24"/>
          <w:color w:val="auto"/>
        </w:rPr>
      </w:pPr>
    </w:p>
    <w:tbl>
      <w:tblPr>
        <w:tblLayout w:type="fixed"/>
        <w:tblInd w:w="840" w:type="dxa"/>
        <w:tblCellMar>
          <w:top w:w="0" w:type="dxa"/>
          <w:left w:w="0" w:type="dxa"/>
          <w:bottom w:w="0" w:type="dxa"/>
          <w:right w:w="0" w:type="dxa"/>
        </w:tblCellMar>
      </w:tblPr>
      <w:tr>
        <w:trPr>
          <w:trHeight w:val="207"/>
        </w:trPr>
        <w:tc>
          <w:tcPr>
            <w:tcW w:w="2060" w:type="dxa"/>
            <w:vAlign w:val="bottom"/>
          </w:tcPr>
          <w:p>
            <w:pPr>
              <w:spacing w:after="0"/>
              <w:rPr>
                <w:sz w:val="17"/>
                <w:szCs w:val="17"/>
                <w:color w:val="auto"/>
              </w:rPr>
            </w:pPr>
          </w:p>
        </w:tc>
        <w:tc>
          <w:tcPr>
            <w:tcW w:w="524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1960" w:type="dxa"/>
            <w:vAlign w:val="bottom"/>
          </w:tcPr>
          <w:p>
            <w:pPr>
              <w:spacing w:after="0"/>
              <w:rPr>
                <w:sz w:val="17"/>
                <w:szCs w:val="17"/>
                <w:color w:val="auto"/>
              </w:rPr>
            </w:pPr>
          </w:p>
        </w:tc>
      </w:tr>
      <w:tr>
        <w:trPr>
          <w:trHeight w:val="212"/>
        </w:trPr>
        <w:tc>
          <w:tcPr>
            <w:tcW w:w="2060" w:type="dxa"/>
            <w:vAlign w:val="bottom"/>
          </w:tcPr>
          <w:p>
            <w:pPr>
              <w:spacing w:after="0"/>
              <w:rPr>
                <w:sz w:val="18"/>
                <w:szCs w:val="18"/>
                <w:color w:val="auto"/>
              </w:rPr>
            </w:pPr>
          </w:p>
        </w:tc>
        <w:tc>
          <w:tcPr>
            <w:tcW w:w="52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___________________________</w:t>
            </w:r>
          </w:p>
        </w:tc>
        <w:tc>
          <w:tcPr>
            <w:tcW w:w="1960" w:type="dxa"/>
            <w:vAlign w:val="bottom"/>
          </w:tcPr>
          <w:p>
            <w:pPr>
              <w:spacing w:after="0"/>
              <w:rPr>
                <w:sz w:val="18"/>
                <w:szCs w:val="18"/>
                <w:color w:val="auto"/>
              </w:rPr>
            </w:pPr>
          </w:p>
        </w:tc>
      </w:tr>
      <w:tr>
        <w:trPr>
          <w:trHeight w:val="216"/>
        </w:trPr>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24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001-37942</w:t>
            </w:r>
          </w:p>
        </w:tc>
        <w:tc>
          <w:tcPr>
            <w:tcW w:w="19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30-0645032</w:t>
            </w:r>
          </w:p>
        </w:tc>
      </w:tr>
      <w:tr>
        <w:trPr>
          <w:trHeight w:val="216"/>
        </w:trPr>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24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196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24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196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7300" w:type="dxa"/>
            <w:vAlign w:val="bottom"/>
            <w:gridSpan w:val="2"/>
          </w:tcPr>
          <w:p>
            <w:pPr>
              <w:jc w:val="center"/>
              <w:ind w:right="1350"/>
              <w:spacing w:after="0"/>
              <w:rPr>
                <w:sz w:val="20"/>
                <w:szCs w:val="20"/>
                <w:color w:val="auto"/>
              </w:rPr>
            </w:pPr>
            <w:r>
              <w:rPr>
                <w:rFonts w:ascii="Times New Roman" w:cs="Times New Roman" w:eastAsia="Times New Roman" w:hAnsi="Times New Roman"/>
                <w:sz w:val="18"/>
                <w:szCs w:val="18"/>
                <w:b w:val="1"/>
                <w:bCs w:val="1"/>
                <w:color w:val="auto"/>
                <w:w w:val="99"/>
              </w:rPr>
              <w:t>20 Park Plaza, Suite 424</w:t>
            </w:r>
          </w:p>
        </w:tc>
        <w:tc>
          <w:tcPr>
            <w:tcW w:w="1960" w:type="dxa"/>
            <w:vAlign w:val="bottom"/>
          </w:tcPr>
          <w:p>
            <w:pPr>
              <w:spacing w:after="0"/>
              <w:rPr>
                <w:sz w:val="24"/>
                <w:szCs w:val="24"/>
                <w:color w:val="auto"/>
              </w:rPr>
            </w:pPr>
          </w:p>
        </w:tc>
      </w:tr>
      <w:tr>
        <w:trPr>
          <w:trHeight w:val="216"/>
        </w:trPr>
        <w:tc>
          <w:tcPr>
            <w:tcW w:w="2060" w:type="dxa"/>
            <w:vAlign w:val="bottom"/>
          </w:tcPr>
          <w:p>
            <w:pPr>
              <w:spacing w:after="0"/>
              <w:rPr>
                <w:sz w:val="18"/>
                <w:szCs w:val="18"/>
                <w:color w:val="auto"/>
              </w:rPr>
            </w:pPr>
          </w:p>
        </w:tc>
        <w:tc>
          <w:tcPr>
            <w:tcW w:w="5240" w:type="dxa"/>
            <w:vAlign w:val="bottom"/>
          </w:tcPr>
          <w:p>
            <w:pPr>
              <w:jc w:val="center"/>
              <w:ind w:right="3410"/>
              <w:spacing w:after="0"/>
              <w:rPr>
                <w:sz w:val="20"/>
                <w:szCs w:val="20"/>
                <w:color w:val="auto"/>
              </w:rPr>
            </w:pPr>
            <w:r>
              <w:rPr>
                <w:rFonts w:ascii="Times New Roman" w:cs="Times New Roman" w:eastAsia="Times New Roman" w:hAnsi="Times New Roman"/>
                <w:sz w:val="18"/>
                <w:szCs w:val="18"/>
                <w:b w:val="1"/>
                <w:bCs w:val="1"/>
                <w:color w:val="auto"/>
              </w:rPr>
              <w:t>Boston, Massachusetts</w:t>
            </w:r>
          </w:p>
        </w:tc>
        <w:tc>
          <w:tcPr>
            <w:tcW w:w="19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02116</w:t>
            </w:r>
          </w:p>
        </w:tc>
      </w:tr>
      <w:tr>
        <w:trPr>
          <w:trHeight w:val="238"/>
        </w:trPr>
        <w:tc>
          <w:tcPr>
            <w:tcW w:w="7300" w:type="dxa"/>
            <w:vAlign w:val="bottom"/>
            <w:gridSpan w:val="2"/>
          </w:tcPr>
          <w:p>
            <w:pPr>
              <w:jc w:val="center"/>
              <w:ind w:right="135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96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 (617) 744-4400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38"/>
        </w:trPr>
        <w:tc>
          <w:tcPr>
            <w:tcW w:w="5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120" w:type="dxa"/>
            <w:vAlign w:val="bottom"/>
          </w:tcPr>
          <w:p>
            <w:pPr>
              <w:spacing w:after="0"/>
              <w:rPr>
                <w:sz w:val="20"/>
                <w:szCs w:val="20"/>
                <w:color w:val="auto"/>
              </w:rPr>
            </w:pPr>
          </w:p>
        </w:tc>
        <w:tc>
          <w:tcPr>
            <w:tcW w:w="4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28"/>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$0.001 par value</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CRVO</w:t>
            </w:r>
          </w:p>
        </w:tc>
        <w:tc>
          <w:tcPr>
            <w:tcW w:w="120" w:type="dxa"/>
            <w:vAlign w:val="bottom"/>
          </w:tcPr>
          <w:p>
            <w:pPr>
              <w:spacing w:after="0"/>
              <w:rPr>
                <w:sz w:val="19"/>
                <w:szCs w:val="19"/>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18, 2026, CervoMed Inc., a Delaware corporation (the “Company”), entered into a Securities Purchase Agreement (the “Purchase Agreement”) with the investors named therein (the “Investors”), pursuant to which the Company agreed to issue and sell, in a registered direct offering by the Company directly to the Investors (the “Offering”), 2,500,000 shares (the “Shares”) of the Company’s common stock, par value $0.001 per share (“Common Stock”), at a purchase price of $4.00 per Share, for aggregate gross proceeds of $10.0 million, before deducting placement agent fees (as described in greater detail below) and related offering expenses. The Company intends to use the net proceeds from the Offering for working capital and general corporate purposes.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Purchase Agreement contains customary representations and warranties and agreements of the Company and the Investors and customary indemnification rights and obligations of the parties. Pursuant to the terms of the Purchase Agreement, the Company has agreed to certain restrictions during the 30-day period following the closing date of the Offering on issuing or announcing issuances of Common Stock or Common Stock Equivalents (as defined in the Purchase Agreement) and on filing registration statements or amendments or supplements thereto, subject to specified exceptions (the “Lock-up Period”). Additionally, the Company agreed not to enter into a variable rate transaction for a period of six months following the closing date of the Offering, subject to specified exceptions.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Shares were offered by the Company pursuant to a registration statement on Form S-3 (File No. 333-282494), which was filed with the Securities and Exchange Commission (the “Commission”) on October 3, 2024 and was declared effective by the Commission on October 10, 2024 (the “Registration Statement”).</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Offering is expected to close on or about June 22, 2026, subject to customary closing conditions. On June 16, 2026, the Company entered into an engagement letter, in connection with the Offering (the “Engagement Letter”), with H.C. Wainwright &amp; Co., LLC (“Wainwright”), pursuant to which Wainwright agreed to serve as the exclusive placement agent for the issuance and sale of securities of the Company pursuant to the Purchase Agreement. As compensation for such placement agent services, the Company has agreed to pay Wainwright an aggregate cash fee equal to 6.0% of the aggregate gross proceeds received by the Company from the Offering and to issue to Wainwright or its designees warrants (the “Placement Agent Warrants”) to purchase Common Stock equal to 6.0% of the aggregate number of shares of Common Stock (or Common Stock Equivalents (as defined in the Engagement Letter), if applicable) issued in the Offering (or pre-funded warrants in lieu of Common Stock). The Company also agreed to pay to Wainwright a management fee equal to 1.0% of the gross proceeds raised in the Offering, non-accountable expenses of $35,000, up to $50,000 for its fees and expenses of legal counsel and $15,950 for clearing expenses. The Engagement Letter also includes indemnification obligations of the Company and other provisions customary for transactions of this nature.</w:t>
      </w:r>
    </w:p>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Placement Agent Warrants will have an exercise price of $5.00 per share (or $4.999 per pre-funded warrant if elected), will be immediately exercisable and will expire 5 years following the commencement of sales of the Offering. Under the terms of the Placement Agent Warrants, the Company may not effect the exercise of any portion of any Placement Agent Warrants, and a holder will not have the right to exercise any portion of any Placement Agent Warrants, which, upon giving effect to such exercise, would cause a holder (together with its affiliates) to own more than a specified beneficial ownership limitation of 4.99% of the number of shares of Common Stock outstanding immediately after giving effect to such exercise, as such percentage ownership is determined in accordance with the terms of the Placement Agent Warrants. However, any holder may increase or decrease such percentage to any other percentage not in excess of 9.99%, provided that any increase in such percentage shall not be effective until 61 days after such notice is delivered to the Company. To the extent that exercise of the Placement Agent Warrants will result in a holder thereof to beneficially own shares of Common Stock above such ownership limitations, the holder may exercise its Placement Agent Warrants for pre-funded warrants to purchase shares of Common Stock. Such pre-funded warrants will have an exercise price of $0.001 per share of common stock issued upon exercise of such pre-funded warrants, will be immediately exercisable on the date of issuance and will not expire. Under the terms of any such pre-funded warrants, the Company may not effect the exercise of any portion of any pre-funded warrants, and a holder will not have the right to exercise any portion of any pre-funded warrant, which, upon giving effect to such exercise, would cause a holder (together with its affiliates) to own more than a specified beneficial ownership limitation of 4.99% of the number of shares of Common Stock outstanding immediately after giving effect to such exercise, as such percentage ownership is determined in accordance with the terms of the pre-funded warrants. However, any holder may increase or decrease such percentage to any other percentage not in excess of 9.99%, provided that any increase in such percentage shall not be effective until 61 days after such notice is delivered to the Company.</w:t>
      </w:r>
    </w:p>
    <w:p>
      <w:pPr>
        <w:spacing w:after="0" w:line="1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Placement Agent Warrants and the shares of Common Stock (or pre-funded warrants in lieu thereof) issuable upon exercise of the Placement Agent Warrants are not being registered under the Securities Act of 1933, as amended (the “Securities Act”), were not offered pursuant to the Registration Statement and were offered pursuant to the exemption provided in Section 4(a)(2) under the Securities Act, and Rule 506(b) promulgated thereunder.</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both"/>
        <w:spacing w:after="0" w:line="266" w:lineRule="auto"/>
        <w:rPr>
          <w:sz w:val="20"/>
          <w:szCs w:val="20"/>
          <w:color w:val="auto"/>
        </w:rPr>
      </w:pPr>
      <w:r>
        <w:rPr>
          <w:rFonts w:ascii="Times New Roman" w:cs="Times New Roman" w:eastAsia="Times New Roman" w:hAnsi="Times New Roman"/>
          <w:sz w:val="18"/>
          <w:szCs w:val="18"/>
          <w:color w:val="auto"/>
        </w:rPr>
        <w:t>The Common Stock is listed on The Nasdaq Capital Market. There is no established trading market for the Placement Agent Warrants, and the Company does not intend to list the Placement Agent Warrants on any securities exchange or nationally recognized trading system. Without a trading market, the liquidity of the Placement Agent Warrants may be extremely limited.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summaries of the form of Purchase Agreement and form of Placement Agent Warrant do not purport to be complete and are subject to, and qualified in their entirety by, such documents attached as Exhibits 10.1 and 4.1, respectively, to this Current Report on Form 8-K, which are incorporated herein by reference.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Current Report on Form 8-K does not constitute an offer to sell any securities or a solicitation of an offer to buy any securities, nor shall there be any sale of any securities in any state or jurisdiction in which such an offer, solicitation or sale would be unlawful prior to registration or qualification under the securities laws of any such state or jurisdiction.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copy of the opinion of Mintz, Levin, Cohn, Ferris, Glovsky and Popeo, P.C. relating to the legality of the issuance and sale of the Shares is attached as Exhibit 5.1 hereto.</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1.01 above is incorporated herein by reference into this Item 3.02.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June 18, 2026, the Company issued a press release announcing the pricing of the Offering described above, a copy of which is attached as Exhibit 99.1 hereto.</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240"/>
        <w:spacing w:after="0"/>
        <w:tabs>
          <w:tab w:leader="none" w:pos="78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u w:val="single" w:color="auto"/>
          <w:color w:val="0000EE"/>
        </w:rPr>
        <w:t>Form of Placement Agent Warrant.</w:t>
      </w:r>
    </w:p>
    <w:p>
      <w:pPr>
        <w:spacing w:after="0" w:line="220" w:lineRule="exact"/>
        <w:rPr>
          <w:sz w:val="20"/>
          <w:szCs w:val="20"/>
          <w:color w:val="auto"/>
        </w:rPr>
      </w:pPr>
    </w:p>
    <w:p>
      <w:pPr>
        <w:ind w:left="240"/>
        <w:spacing w:after="0"/>
        <w:tabs>
          <w:tab w:leader="none" w:pos="78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u w:val="single" w:color="auto"/>
          <w:color w:val="0000EE"/>
        </w:rPr>
        <w:t>Opinion of Mintz, Levin, Cohn, Ferris, Glovsky and Popeo, P.C.</w:t>
      </w:r>
    </w:p>
    <w:p>
      <w:pPr>
        <w:spacing w:after="0" w:line="225" w:lineRule="exact"/>
        <w:rPr>
          <w:sz w:val="20"/>
          <w:szCs w:val="20"/>
          <w:color w:val="auto"/>
        </w:rPr>
      </w:pPr>
    </w:p>
    <w:p>
      <w:pPr>
        <w:ind w:left="180"/>
        <w:spacing w:after="0"/>
        <w:tabs>
          <w:tab w:leader="none" w:pos="78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0000EE"/>
        </w:rPr>
        <w:t>Form of Securities Purchase Agreement, dated as of June 18, 2026, by and among CervoMed Inc. and the purchasers party thereto.</w:t>
      </w:r>
    </w:p>
    <w:p>
      <w:pPr>
        <w:spacing w:after="0" w:line="225" w:lineRule="exact"/>
        <w:rPr>
          <w:sz w:val="20"/>
          <w:szCs w:val="20"/>
          <w:color w:val="auto"/>
        </w:rPr>
      </w:pPr>
    </w:p>
    <w:p>
      <w:pPr>
        <w:ind w:left="180"/>
        <w:spacing w:after="0"/>
        <w:tabs>
          <w:tab w:leader="none" w:pos="78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Mintz, Levin, Cohn, Ferris, Glovsky and Popeo, P.C. (included in Exhibit 5.1).</w:t>
      </w:r>
    </w:p>
    <w:p>
      <w:pPr>
        <w:spacing w:after="0" w:line="225" w:lineRule="exact"/>
        <w:rPr>
          <w:sz w:val="20"/>
          <w:szCs w:val="20"/>
          <w:color w:val="auto"/>
        </w:rPr>
      </w:pPr>
    </w:p>
    <w:p>
      <w:pPr>
        <w:ind w:left="180"/>
        <w:spacing w:after="0"/>
        <w:tabs>
          <w:tab w:leader="none" w:pos="7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Pricing Press Release.</w:t>
      </w:r>
    </w:p>
    <w:p>
      <w:pPr>
        <w:spacing w:after="0" w:line="225" w:lineRule="exact"/>
        <w:rPr>
          <w:sz w:val="20"/>
          <w:szCs w:val="20"/>
          <w:color w:val="auto"/>
        </w:rPr>
      </w:pPr>
    </w:p>
    <w:p>
      <w:pPr>
        <w:ind w:left="220"/>
        <w:spacing w:after="0"/>
        <w:tabs>
          <w:tab w:leader="none" w:pos="7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1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40"/>
          </w:cols>
          <w:pgMar w:left="320" w:top="576" w:right="1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40" w:type="dxa"/>
            <w:vAlign w:val="bottom"/>
          </w:tcPr>
          <w:p>
            <w:pPr>
              <w:spacing w:after="0"/>
              <w:rPr>
                <w:sz w:val="20"/>
                <w:szCs w:val="20"/>
                <w:color w:val="auto"/>
              </w:rPr>
            </w:pPr>
          </w:p>
        </w:tc>
        <w:tc>
          <w:tcPr>
            <w:tcW w:w="2180" w:type="dxa"/>
            <w:vAlign w:val="bottom"/>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rPr>
              <w:t>CervoMed Inc.</w:t>
            </w:r>
          </w:p>
        </w:tc>
        <w:tc>
          <w:tcPr>
            <w:tcW w:w="6820" w:type="dxa"/>
            <w:vAlign w:val="bottom"/>
          </w:tcPr>
          <w:p>
            <w:pPr>
              <w:spacing w:after="0"/>
              <w:rPr>
                <w:sz w:val="20"/>
                <w:szCs w:val="20"/>
                <w:color w:val="auto"/>
              </w:rPr>
            </w:pPr>
          </w:p>
        </w:tc>
      </w:tr>
      <w:tr>
        <w:trPr>
          <w:trHeight w:val="432"/>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Date: June 18, 2026</w:t>
            </w:r>
          </w:p>
        </w:tc>
        <w:tc>
          <w:tcPr>
            <w:tcW w:w="13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By:</w:t>
            </w:r>
          </w:p>
        </w:tc>
        <w:tc>
          <w:tcPr>
            <w:tcW w:w="7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William Elder</w:t>
            </w:r>
          </w:p>
        </w:tc>
      </w:tr>
      <w:tr>
        <w:trPr>
          <w:trHeight w:val="191"/>
        </w:trPr>
        <w:tc>
          <w:tcPr>
            <w:tcW w:w="2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6820" w:type="dxa"/>
            <w:vAlign w:val="bottom"/>
          </w:tcPr>
          <w:p>
            <w:pPr>
              <w:ind w:left="220"/>
              <w:spacing w:after="0" w:line="191" w:lineRule="exact"/>
              <w:rPr>
                <w:sz w:val="20"/>
                <w:szCs w:val="20"/>
                <w:color w:val="auto"/>
              </w:rPr>
            </w:pPr>
            <w:r>
              <w:rPr>
                <w:rFonts w:ascii="Times New Roman" w:cs="Times New Roman" w:eastAsia="Times New Roman" w:hAnsi="Times New Roman"/>
                <w:sz w:val="18"/>
                <w:szCs w:val="18"/>
                <w:color w:val="auto"/>
              </w:rPr>
              <w:t>William Elder</w:t>
            </w:r>
          </w:p>
        </w:tc>
      </w:tr>
      <w:tr>
        <w:trPr>
          <w:trHeight w:val="234"/>
        </w:trPr>
        <w:tc>
          <w:tcPr>
            <w:tcW w:w="2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Chief Financial Officer &amp; General Counsel</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576" w:right="339" w:bottom="1440" w:gutter="0" w:footer="0" w:header="0"/>
        </w:sectPr>
      </w:pPr>
    </w:p>
    <w:bookmarkStart w:id="6" w:name="page7"/>
    <w:bookmarkEnd w:id="6"/>
    <w:p>
      <w:pPr>
        <w:ind w:left="10400"/>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23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AND,</w:t>
      </w: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PLACEMENT AGENT WARRANT]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CERVOMED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PLACEMENT AGENT WARRANT TO PURCHASE COMMON STOCK OR PRE-FUNDED WARRANTS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No.: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Common Stock or Pre-Funded Warrants: [_]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Issuance: June 22, 2026 (“</w:t>
      </w:r>
      <w:r>
        <w:rPr>
          <w:rFonts w:ascii="Times New Roman" w:cs="Times New Roman" w:eastAsia="Times New Roman" w:hAnsi="Times New Roman"/>
          <w:sz w:val="18"/>
          <w:szCs w:val="18"/>
          <w:b w:val="1"/>
          <w:bCs w:val="1"/>
          <w:i w:val="1"/>
          <w:iCs w:val="1"/>
          <w:color w:val="auto"/>
        </w:rPr>
        <w:t>Issuance Date</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CervoMed Inc., a company organized under the laws of Delaware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hereby certifies that, for good and valuable consideration, the receipt and sufficiency of which are hereby acknowledged, [_____________], the registered holder hereof or its permitted assigns (the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is</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entitled, subject to the terms set forth below, to purchase from the Company, at the Exercise Price (as defined below) then in effect, at any time, and from time to time, following the Issuance Date, but not after 11:59 p.m., New York time, on the Expiration Date (the “</w:t>
      </w:r>
      <w:r>
        <w:rPr>
          <w:rFonts w:ascii="Times New Roman" w:cs="Times New Roman" w:eastAsia="Times New Roman" w:hAnsi="Times New Roman"/>
          <w:sz w:val="18"/>
          <w:szCs w:val="18"/>
          <w:b w:val="1"/>
          <w:bCs w:val="1"/>
          <w:i w:val="1"/>
          <w:iCs w:val="1"/>
          <w:color w:val="auto"/>
        </w:rPr>
        <w:t>Exercisability Period</w:t>
      </w:r>
      <w:r>
        <w:rPr>
          <w:rFonts w:ascii="Times New Roman" w:cs="Times New Roman" w:eastAsia="Times New Roman" w:hAnsi="Times New Roman"/>
          <w:sz w:val="18"/>
          <w:szCs w:val="18"/>
          <w:color w:val="auto"/>
        </w:rPr>
        <w:t>”), either (x) [______________ (_____________)] fully paid non-assessable shares of Common Stock (as defined below), subject to adjustment as provided herein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Warrant Shares</w:t>
      </w:r>
      <w:r>
        <w:rPr>
          <w:rFonts w:ascii="Times New Roman" w:cs="Times New Roman" w:eastAsia="Times New Roman" w:hAnsi="Times New Roman"/>
          <w:sz w:val="18"/>
          <w:szCs w:val="18"/>
          <w:color w:val="auto"/>
        </w:rPr>
        <w:t>”), or in lieu of all or a portion of such Warrant Shares, (y) pre-funded warrants to purchase [______________ (_____________)] shares</w:t>
      </w:r>
    </w:p>
    <w:p>
      <w:pPr>
        <w:spacing w:after="0" w:line="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of Common Stock for a future exercise price of $0.001 (the “</w:t>
      </w:r>
      <w:r>
        <w:rPr>
          <w:rFonts w:ascii="Times New Roman" w:cs="Times New Roman" w:eastAsia="Times New Roman" w:hAnsi="Times New Roman"/>
          <w:sz w:val="18"/>
          <w:szCs w:val="18"/>
          <w:b w:val="1"/>
          <w:bCs w:val="1"/>
          <w:i w:val="1"/>
          <w:iCs w:val="1"/>
          <w:color w:val="auto"/>
        </w:rPr>
        <w:t>Pre-Funded Warrants</w:t>
      </w:r>
      <w:r>
        <w:rPr>
          <w:rFonts w:ascii="Times New Roman" w:cs="Times New Roman" w:eastAsia="Times New Roman" w:hAnsi="Times New Roman"/>
          <w:sz w:val="18"/>
          <w:szCs w:val="18"/>
          <w:color w:val="auto"/>
        </w:rPr>
        <w:t xml:space="preserve">”),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with such choice between Warrant Shares and Pre-Funded Warrants determined by the Maximum Percentage (as defined below). Except as otherwise defined herein, capitalized terms in this Placement Agent Warrant to Purchase Common Stock (including any Placement Agent Warrants to Purchase Common Stock issued in exchange, transfer or replacement hereof, this “</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shall have the meanings set forth in Section 16. This Warrant is one of the Placement Agent Warrants to Purchase Common Stock (the “</w:t>
      </w:r>
      <w:r>
        <w:rPr>
          <w:rFonts w:ascii="Times New Roman" w:cs="Times New Roman" w:eastAsia="Times New Roman" w:hAnsi="Times New Roman"/>
          <w:sz w:val="18"/>
          <w:szCs w:val="18"/>
          <w:b w:val="1"/>
          <w:bCs w:val="1"/>
          <w:i w:val="1"/>
          <w:iCs w:val="1"/>
          <w:color w:val="auto"/>
        </w:rPr>
        <w:t>Other Warrants</w:t>
      </w:r>
      <w:r>
        <w:rPr>
          <w:rFonts w:ascii="Times New Roman" w:cs="Times New Roman" w:eastAsia="Times New Roman" w:hAnsi="Times New Roman"/>
          <w:sz w:val="18"/>
          <w:szCs w:val="18"/>
          <w:color w:val="auto"/>
        </w:rPr>
        <w:t>”) issued pursuant to that certain Engagement Letter between the Company and H.C. Wainwright &amp; Co., LLC, dated as of June 16, 2026. Capitalized terms used and not otherwise defined herein shall have the meanings set forth in that certain Securities Purchase Agreement (the “</w:t>
      </w:r>
      <w:r>
        <w:rPr>
          <w:rFonts w:ascii="Times New Roman" w:cs="Times New Roman" w:eastAsia="Times New Roman" w:hAnsi="Times New Roman"/>
          <w:sz w:val="18"/>
          <w:szCs w:val="18"/>
          <w:b w:val="1"/>
          <w:bCs w:val="1"/>
          <w:i w:val="1"/>
          <w:iCs w:val="1"/>
          <w:color w:val="auto"/>
        </w:rPr>
        <w:t>Purchase Agreement</w:t>
      </w:r>
      <w:r>
        <w:rPr>
          <w:rFonts w:ascii="Times New Roman" w:cs="Times New Roman" w:eastAsia="Times New Roman" w:hAnsi="Times New Roman"/>
          <w:sz w:val="18"/>
          <w:szCs w:val="18"/>
          <w:color w:val="auto"/>
        </w:rPr>
        <w:t>”), dated June 18, 2026, among the Company and the purchasers signatory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980"/>
        <w:spacing w:after="0" w:line="267" w:lineRule="auto"/>
        <w:tabs>
          <w:tab w:leader="none" w:pos="1419" w:val="left"/>
        </w:tabs>
        <w:numPr>
          <w:ilvl w:val="2"/>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Mechanics of Exercise</w:t>
      </w:r>
      <w:r>
        <w:rPr>
          <w:rFonts w:ascii="Times New Roman" w:cs="Times New Roman" w:eastAsia="Times New Roman" w:hAnsi="Times New Roman"/>
          <w:sz w:val="17"/>
          <w:szCs w:val="17"/>
          <w:color w:val="auto"/>
        </w:rPr>
        <w:t xml:space="preserve">. Subject to the terms and conditions hereof (including, without limitation, the limitations set forth in Section 1(e)), this Warrant may be exercised by the Holder at any time or times during the Exercisability Period, in whole or in part, by delivery (whether via electronic mail or otherwise) of a written notice, in the form attached hereto as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i w:val="1"/>
          <w:iCs w:val="1"/>
          <w:color w:val="auto"/>
        </w:rPr>
        <w:t>Exercise Notice</w:t>
      </w:r>
      <w:r>
        <w:rPr>
          <w:rFonts w:ascii="Times New Roman" w:cs="Times New Roman" w:eastAsia="Times New Roman" w:hAnsi="Times New Roman"/>
          <w:sz w:val="17"/>
          <w:szCs w:val="17"/>
          <w:color w:val="auto"/>
        </w:rPr>
        <w:t>”), of the Holder’s election to exercise this Warrant. Within one (1) Trading Day following the delivery of the Exercise Notice, the Holder shall make payment to the Company of an amount equal to the Exercise Price in effect on the date of such exercise, as applicable to the exercise of the Warrant Shares or the Pre-Funded Warrants, multiplied by the number of Warrant Shares or Pre-Funded Warrants as to which this Warrant is being exercised (the “</w:t>
      </w:r>
      <w:r>
        <w:rPr>
          <w:rFonts w:ascii="Times New Roman" w:cs="Times New Roman" w:eastAsia="Times New Roman" w:hAnsi="Times New Roman"/>
          <w:sz w:val="17"/>
          <w:szCs w:val="17"/>
          <w:b w:val="1"/>
          <w:bCs w:val="1"/>
          <w:i w:val="1"/>
          <w:iCs w:val="1"/>
          <w:color w:val="auto"/>
        </w:rPr>
        <w:t>Aggregate Exercise Price</w:t>
      </w:r>
      <w:r>
        <w:rPr>
          <w:rFonts w:ascii="Times New Roman" w:cs="Times New Roman" w:eastAsia="Times New Roman" w:hAnsi="Times New Roman"/>
          <w:sz w:val="17"/>
          <w:szCs w:val="17"/>
          <w:color w:val="auto"/>
        </w:rPr>
        <w:t>”) in cash by wire transfer of immediately available funds, or, if the provisions of Section 1(c) are applicable, by notifying the Company that this Warrant is being exercised pursuant to a Cashless Exercise (as defined in Section 1(c)). The Holder shall not be required to deliver the original Warrant in order to effect an exercise hereunder, nor shall any ink-original signature or medallion guarantee (or other type of guarantee or notarization) with respect to any Exercise Notice be required. Execution and delivery of the Exercise Notice with respect to less than all of the Warrant Shares or Pre-Funded Warrants shall have the same effect as cancellation of the original Warrant and issuance of a new Warrant evidencing the right to purchase the remaining number of Warrant Shares or Pre-Funded Warrants and the Holder shall not be required to physically surrender this Warrant to the Company until the Holder has purchased all of the Warrant Shares or Pre-Funded Warrants available hereunder and the Warrant has been exercised in full, in which case, the Holder shall surrender this Warrant to the Company for cancellation within five (5) Trading Days of the date on which the final Exercise Notice has been delivered to the Company. On or before the first (1st) Trading Day following the date on which the Holder has delivered the applicable Exercise Notice, the Company shall transmit by electronic mail an acknowledgment of confirmation of receipt of the Exercise Notice to the Holder and the Company’s transfer agent (the “</w:t>
      </w:r>
      <w:r>
        <w:rPr>
          <w:rFonts w:ascii="Times New Roman" w:cs="Times New Roman" w:eastAsia="Times New Roman" w:hAnsi="Times New Roman"/>
          <w:sz w:val="17"/>
          <w:szCs w:val="17"/>
          <w:b w:val="1"/>
          <w:bCs w:val="1"/>
          <w:i w:val="1"/>
          <w:iCs w:val="1"/>
          <w:color w:val="auto"/>
        </w:rPr>
        <w:t>Transfer Agent</w:t>
      </w:r>
      <w:r>
        <w:rPr>
          <w:rFonts w:ascii="Times New Roman" w:cs="Times New Roman" w:eastAsia="Times New Roman" w:hAnsi="Times New Roman"/>
          <w:sz w:val="17"/>
          <w:szCs w:val="17"/>
          <w:color w:val="auto"/>
        </w:rPr>
        <w:t>”). So long as the Holder delivers the Aggregate Exercise Price (or notice of a Cashless Exercise, as applicable) on or prior to the first (1st) Trading Day following the date on which the Exercise Notice has been delivered to the Company, then on or prior to the earlier of (i) the second (2nd) Trading Day and (ii) the number of Trading Days comprising the Standard Settlement Period, in each case following the date on which the Exercise Notice has been delivered to the Company, or, if the Holder does not deliver the Aggregate Exercise Price (or notice of a Cashless Exercise, as applicable) on or prior to the first (1st) Trading Day following the date on which the Exercise Notice has been delivered to the Company, then on or prior to the first (1st) Trading Day following the date on which the Aggregate Exercise Price (or notice of a Cashless Exercise, as applicable) is delivered (such earlier date, or if later, the earliest day on which the Company is required to deliver Warrant Shares or Pre-Funded Warrants pursuant to this Section 1(a), the “</w:t>
      </w:r>
      <w:r>
        <w:rPr>
          <w:rFonts w:ascii="Times New Roman" w:cs="Times New Roman" w:eastAsia="Times New Roman" w:hAnsi="Times New Roman"/>
          <w:sz w:val="17"/>
          <w:szCs w:val="17"/>
          <w:b w:val="1"/>
          <w:bCs w:val="1"/>
          <w:i w:val="1"/>
          <w:iCs w:val="1"/>
          <w:color w:val="auto"/>
        </w:rPr>
        <w:t>Delivery Date</w:t>
      </w:r>
      <w:r>
        <w:rPr>
          <w:rFonts w:ascii="Times New Roman" w:cs="Times New Roman" w:eastAsia="Times New Roman" w:hAnsi="Times New Roman"/>
          <w:sz w:val="17"/>
          <w:szCs w:val="17"/>
          <w:color w:val="auto"/>
        </w:rPr>
        <w:t>”), the Company shall,</w:t>
      </w:r>
    </w:p>
    <w:p>
      <w:pPr>
        <w:spacing w:after="0" w:line="201" w:lineRule="exact"/>
        <w:rPr>
          <w:rFonts w:ascii="Times New Roman" w:cs="Times New Roman" w:eastAsia="Times New Roman" w:hAnsi="Times New Roman"/>
          <w:sz w:val="17"/>
          <w:szCs w:val="17"/>
          <w:color w:val="auto"/>
        </w:rPr>
      </w:pPr>
    </w:p>
    <w:p>
      <w:pPr>
        <w:jc w:val="both"/>
        <w:ind w:firstLine="8"/>
        <w:spacing w:after="0" w:line="250" w:lineRule="auto"/>
        <w:tabs>
          <w:tab w:leader="none" w:pos="30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Transfer Agent is participating in The Depository Trust Company (“</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Fast Automated Securities Transfer Program (“</w:t>
      </w:r>
      <w:r>
        <w:rPr>
          <w:rFonts w:ascii="Times New Roman" w:cs="Times New Roman" w:eastAsia="Times New Roman" w:hAnsi="Times New Roman"/>
          <w:sz w:val="18"/>
          <w:szCs w:val="18"/>
          <w:b w:val="1"/>
          <w:bCs w:val="1"/>
          <w:i w:val="1"/>
          <w:iCs w:val="1"/>
          <w:color w:val="auto"/>
        </w:rPr>
        <w:t>FAST</w:t>
      </w:r>
      <w:r>
        <w:rPr>
          <w:rFonts w:ascii="Times New Roman" w:cs="Times New Roman" w:eastAsia="Times New Roman" w:hAnsi="Times New Roman"/>
          <w:sz w:val="18"/>
          <w:szCs w:val="18"/>
          <w:color w:val="auto"/>
        </w:rPr>
        <w:t xml:space="preserve">”), credit such aggregate number of Warrant Shares or Pre-Funded Warrants to which the Holder is entitled pursuant to such exercise to the Holder’s or its designee’s balance account with DTC through its Deposit / Withdrawal At Custodian system, or (Y) if the Transfer Agent is not participating in FAST, issue and dispatch by overnight courier to the address as specified in the Exercise Notice, as elected by the Holder, a certificate or evidence of a credit of book entry shares, registered in the name of the Holder or its designee, for the number of Warrant Shares or Pre-Funded Warrants to which the Holder is entitled pursuant to such exercise. The Company shall be responsible for all fees and expenses of the Transfer Agent and all fees and expenses with respect to the issuance of Warrant Shares or Pre-Funded Warrants via DTC, if any. Upon delivery of the Exercise Notice, the Holder shall be deemed solely for purposes of Regulation SHO to have become the holder of record and beneficial owner of the Warrant Shares or Pre-Funded Warrants with respect to which this Warrant has been exercised, irrespective of the date such Warrant Shares or Pre-Funded Warrants are credited to the Holder’s DTC account or the date of delivery of the certificates evidencing such Warrant Shares or Pre-Funded Warrants, as the case may be, provided that payment of the Aggregate Exercise Price (other than in the case of a Cashless Exercise) is received on or prior to the first (1st) Trading Day following the date on which the Exercise Notice has been delivered to the Company. If this Warrant is physically delivered to the Company in connection with any exercise pursuant to this Section 1(a) and the number of Warrant Shares or Pre-Funded Warrants represented by this Warrant submitted for exercise is greater than the number of Warrant Shares or Pre-Funded Warrants being acquired upon an exercise, then the Company shall as soon as practicable and in no event later than three (3) Trading Days after any exercise and at its own expense, issue and deliver to the Holder (or its designee) a new Warrant (in accordance with Section 7(d)) representing the right to purchase the number of Warrant Shares or Pre-Funded Warrants issuable immediately prior to such exercise under this Warrant, less the number of Warrant Shares or Pre-Funded Warrants with respect to which this Warrant is exercised. No fractional Warrant Shares or Pre-Funded Warrants are to be issued upon the exercise of this Warrant, but rather the number of Warrant Shares or Pre-Funded Warrants to be issued shall be rounded down to the nearest whole number. The Company shall pay any and all transfer, stamp, issuance and similar taxes, costs and expenses (including, without limitation, fees and expenses of the Transfer Agent) which may be payable with respect to the issuance and delivery of Warrant Shares or Pre-Funded Warrants upon exercise of this Warrant. The Company’s obligations to issue and deliver Warrant Shares or Pre-Funded Warrants in accordance with the terms and subject to the conditions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be required to deliver Warrant Shares or Pre-Funded Warrants with respect to an exercise prior to the Holder’s delivery of the Aggregate Exercise Price with respect to such exercise.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8" w:name="page9"/>
    <w:bookmarkEnd w:id="8"/>
    <w:p>
      <w:pPr>
        <w:ind w:firstLine="980"/>
        <w:spacing w:after="0" w:line="286" w:lineRule="auto"/>
        <w:tabs>
          <w:tab w:leader="none" w:pos="138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For purposes of this Warrant, “</w:t>
      </w:r>
      <w:r>
        <w:rPr>
          <w:rFonts w:ascii="Times New Roman" w:cs="Times New Roman" w:eastAsia="Times New Roman" w:hAnsi="Times New Roman"/>
          <w:sz w:val="18"/>
          <w:szCs w:val="18"/>
          <w:b w:val="1"/>
          <w:bCs w:val="1"/>
          <w:i w:val="1"/>
          <w:iCs w:val="1"/>
          <w:color w:val="auto"/>
        </w:rPr>
        <w:t>Exercise Price</w:t>
      </w:r>
      <w:r>
        <w:rPr>
          <w:rFonts w:ascii="Times New Roman" w:cs="Times New Roman" w:eastAsia="Times New Roman" w:hAnsi="Times New Roman"/>
          <w:sz w:val="18"/>
          <w:szCs w:val="18"/>
          <w:color w:val="auto"/>
        </w:rPr>
        <w:t>” means $5.00 per share for Warrant Shares and $4.999 per share for Pre-Funded Warrants, subject to adjustment as provided herein.</w:t>
      </w:r>
    </w:p>
    <w:p>
      <w:pPr>
        <w:spacing w:after="0" w:line="158" w:lineRule="exact"/>
        <w:rPr>
          <w:rFonts w:ascii="Times New Roman" w:cs="Times New Roman" w:eastAsia="Times New Roman" w:hAnsi="Times New Roman"/>
          <w:sz w:val="18"/>
          <w:szCs w:val="18"/>
          <w:color w:val="auto"/>
        </w:rPr>
      </w:pPr>
    </w:p>
    <w:p>
      <w:pPr>
        <w:jc w:val="both"/>
        <w:ind w:firstLine="980"/>
        <w:spacing w:after="0" w:line="258" w:lineRule="auto"/>
        <w:tabs>
          <w:tab w:leader="none" w:pos="139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Notwithstanding anything herein to the contrary, if following the date that is six (6) months following the Issuance Date of this Warrant, a registration statement covering the issuance of the Exercise Notice Warrant Shares (as defined in Section 1(d)) is not available for the issuance of such Exercise Notice Warrant Shares, the Holder may, in its sole discretion, satisfy its obligation to pay the Exercise Price through a “Cashless Exercise”, in which event the Company shall issue to the Holder the number of Warrant Shares in an exchange of securities effected pursuant to Section 3(a)(9) of the Securities Act, as determined as follows:</w:t>
      </w:r>
    </w:p>
    <w:p>
      <w:pPr>
        <w:spacing w:after="0" w:line="18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X = Y [(A-B)/A]</w:t>
      </w:r>
    </w:p>
    <w:p>
      <w:pPr>
        <w:spacing w:after="0" w:line="22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where:</w:t>
      </w:r>
    </w:p>
    <w:p>
      <w:pPr>
        <w:spacing w:after="0" w:line="225" w:lineRule="exact"/>
        <w:rPr>
          <w:sz w:val="20"/>
          <w:szCs w:val="20"/>
          <w:color w:val="auto"/>
        </w:rPr>
      </w:pPr>
    </w:p>
    <w:p>
      <w:pPr>
        <w:ind w:left="1380"/>
        <w:spacing w:after="0"/>
        <w:tabs>
          <w:tab w:leader="none" w:pos="1820" w:val="left"/>
        </w:tabs>
        <w:rPr>
          <w:sz w:val="20"/>
          <w:szCs w:val="20"/>
          <w:color w:val="auto"/>
        </w:rPr>
      </w:pPr>
      <w:r>
        <w:rPr>
          <w:rFonts w:ascii="Times New Roman" w:cs="Times New Roman" w:eastAsia="Times New Roman" w:hAnsi="Times New Roman"/>
          <w:sz w:val="18"/>
          <w:szCs w:val="18"/>
          <w:color w:val="auto"/>
        </w:rPr>
        <w:t>“X”</w:t>
      </w:r>
      <w:r>
        <w:rPr>
          <w:sz w:val="20"/>
          <w:szCs w:val="20"/>
          <w:color w:val="auto"/>
        </w:rPr>
        <w:tab/>
      </w:r>
      <w:r>
        <w:rPr>
          <w:rFonts w:ascii="Times New Roman" w:cs="Times New Roman" w:eastAsia="Times New Roman" w:hAnsi="Times New Roman"/>
          <w:sz w:val="17"/>
          <w:szCs w:val="17"/>
          <w:color w:val="auto"/>
        </w:rPr>
        <w:t>equals the number of Warrant Shares to be issued to the Holder;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 w:name="page10"/>
    <w:bookmarkEnd w:id="9"/>
    <w:p>
      <w:pPr>
        <w:ind w:left="1380"/>
        <w:spacing w:after="0"/>
        <w:tabs>
          <w:tab w:leader="none" w:pos="1820" w:val="left"/>
        </w:tabs>
        <w:rPr>
          <w:sz w:val="20"/>
          <w:szCs w:val="20"/>
          <w:color w:val="auto"/>
        </w:rPr>
      </w:pPr>
      <w:r>
        <w:rPr>
          <w:rFonts w:ascii="Times New Roman" w:cs="Times New Roman" w:eastAsia="Times New Roman" w:hAnsi="Times New Roman"/>
          <w:sz w:val="18"/>
          <w:szCs w:val="18"/>
          <w:color w:val="auto"/>
        </w:rPr>
        <w:t>“Y”</w:t>
      </w:r>
      <w:r>
        <w:rPr>
          <w:sz w:val="20"/>
          <w:szCs w:val="20"/>
          <w:color w:val="auto"/>
        </w:rPr>
        <w:tab/>
      </w:r>
      <w:r>
        <w:rPr>
          <w:rFonts w:ascii="Times New Roman" w:cs="Times New Roman" w:eastAsia="Times New Roman" w:hAnsi="Times New Roman"/>
          <w:sz w:val="17"/>
          <w:szCs w:val="17"/>
          <w:color w:val="auto"/>
        </w:rPr>
        <w:t>equals the total number of Warrant Shares with respect to which this Warrant is then being exercised;</w:t>
      </w:r>
    </w:p>
    <w:p>
      <w:pPr>
        <w:spacing w:after="0" w:line="225" w:lineRule="exact"/>
        <w:rPr>
          <w:sz w:val="20"/>
          <w:szCs w:val="20"/>
          <w:color w:val="auto"/>
        </w:rPr>
      </w:pPr>
    </w:p>
    <w:p>
      <w:pPr>
        <w:ind w:left="720" w:firstLine="648"/>
        <w:spacing w:after="0" w:line="282" w:lineRule="auto"/>
        <w:rPr>
          <w:sz w:val="20"/>
          <w:szCs w:val="20"/>
          <w:color w:val="auto"/>
        </w:rPr>
      </w:pPr>
      <w:r>
        <w:rPr>
          <w:rFonts w:ascii="Times New Roman" w:cs="Times New Roman" w:eastAsia="Times New Roman" w:hAnsi="Times New Roman"/>
          <w:sz w:val="18"/>
          <w:szCs w:val="18"/>
          <w:color w:val="auto"/>
        </w:rPr>
        <w:t>“A” equals the Closing Sale Price of the shares of Common Stock (as reported by Bloomberg Financial Markets) as of the Trading Day on the date immediately preceding the Exercise Date; and</w:t>
      </w:r>
    </w:p>
    <w:p>
      <w:pPr>
        <w:spacing w:after="0" w:line="162" w:lineRule="exact"/>
        <w:rPr>
          <w:sz w:val="20"/>
          <w:szCs w:val="20"/>
          <w:color w:val="auto"/>
        </w:rPr>
      </w:pPr>
    </w:p>
    <w:p>
      <w:pPr>
        <w:ind w:left="1380"/>
        <w:spacing w:after="0"/>
        <w:tabs>
          <w:tab w:leader="none" w:pos="182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7"/>
          <w:szCs w:val="17"/>
          <w:color w:val="auto"/>
        </w:rPr>
        <w:t>equals the Exercise Price then in effect for the applicable Warrant Shares at the time of such exercise.</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purposes of Rule 144 promulgated under the Securities Act, it is intended, understood and acknowledged that the Warrant Shares issued in a “Cashless Exercise” transaction shall be deemed to have been acquired by the Holder, and the holding period for the Warrant Shares shall be deemed to have commenced, on the date this Warrant was originally issued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Commission continues to take the position that such treatment is proper at the time of such exercise). In the event that a registration statement registering the issuance of Warrant Shares is, for any reason, not effective at the time of exercise of this Warrant, then the Warrant may only be exercised through a cashless exercise, as set forth in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If the Warrant Shares are issued in such a cashless exercise, the Company acknowledges and agrees that, in accordance with Section 3(a)(9) of the Securities Act, the Exercise Shares issued in such exercise shall take on the registered characteristics of the Warrants being exercised and may be tacked on to the holding period of the Warrants being exercised.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 w:name="page11"/>
    <w:bookmarkEnd w:id="10"/>
    <w:p>
      <w:pPr>
        <w:jc w:val="both"/>
        <w:ind w:firstLine="980"/>
        <w:spacing w:after="0" w:line="252" w:lineRule="auto"/>
        <w:tabs>
          <w:tab w:leader="none" w:pos="1429"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Failure to Timely Deliver Securities</w:t>
      </w:r>
      <w:r>
        <w:rPr>
          <w:rFonts w:ascii="Times New Roman" w:cs="Times New Roman" w:eastAsia="Times New Roman" w:hAnsi="Times New Roman"/>
          <w:sz w:val="18"/>
          <w:szCs w:val="18"/>
          <w:color w:val="auto"/>
        </w:rPr>
        <w:t>. If either (I) the Company shall fail for any reason or for no reason to issue to the Holder on or prior to the applicable Delivery Date, if (x) the Transfer Agent is not participating in FAST, a certificate for the number of shares of Common Stock to which the Holder is entitled and register such Common Stock on the Company’s share register or (y) the Transfer Agent is participating in FAST, to credit the Holder’s balance account with DTC, for such number of shares of Common Stock to which the Holder is entitled upon the Holder’s exercise of this Warrant or (II) a registration statement covering the issuance or resale of the Warrant Shares or Pre-Funded Warrants that are the subject of the Exercise Notice (the “</w:t>
      </w:r>
      <w:r>
        <w:rPr>
          <w:rFonts w:ascii="Times New Roman" w:cs="Times New Roman" w:eastAsia="Times New Roman" w:hAnsi="Times New Roman"/>
          <w:sz w:val="18"/>
          <w:szCs w:val="18"/>
          <w:b w:val="1"/>
          <w:bCs w:val="1"/>
          <w:i w:val="1"/>
          <w:iCs w:val="1"/>
          <w:color w:val="auto"/>
        </w:rPr>
        <w:t>Exercise Notice Warrant Shares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Exercise Notice Pre-Funded Warrants</w:t>
      </w:r>
      <w:r>
        <w:rPr>
          <w:rFonts w:ascii="Times New Roman" w:cs="Times New Roman" w:eastAsia="Times New Roman" w:hAnsi="Times New Roman"/>
          <w:sz w:val="18"/>
          <w:szCs w:val="18"/>
          <w:color w:val="auto"/>
        </w:rPr>
        <w:t>”, as applicable) is not available for the issuance or resale, as applicable, of such Exercise Notice Warrant Shares or Exercise Notice Pre-Funded Warrants and (x) the Company fails to promptly, but in no event later than one (1) Business Day after such registration statement becomes unavailable, to so notify the Holder and (y) the Company is unable to deliver the Exercise Notice Warrant Shares or Exercise Notice Pre-Funded Warrants electronically without any restrictive legend by crediting such aggregate number of Exercise Notice Warrant Shares or Exercise Notice Pre-Funded Warrants to the Holder’s or its designee’s balance account with DTC through its Deposit / Withdrawal At Custodian system (the event described in the immediately foregoing clause (II) together with the event described in clause (I) above, an “</w:t>
      </w:r>
      <w:r>
        <w:rPr>
          <w:rFonts w:ascii="Times New Roman" w:cs="Times New Roman" w:eastAsia="Times New Roman" w:hAnsi="Times New Roman"/>
          <w:sz w:val="18"/>
          <w:szCs w:val="18"/>
          <w:b w:val="1"/>
          <w:bCs w:val="1"/>
          <w:i w:val="1"/>
          <w:iCs w:val="1"/>
          <w:color w:val="auto"/>
        </w:rPr>
        <w:t>Exercise Failure</w:t>
      </w:r>
      <w:r>
        <w:rPr>
          <w:rFonts w:ascii="Times New Roman" w:cs="Times New Roman" w:eastAsia="Times New Roman" w:hAnsi="Times New Roman"/>
          <w:sz w:val="18"/>
          <w:szCs w:val="18"/>
          <w:color w:val="auto"/>
        </w:rPr>
        <w:t>”), then, in addition to all other remedies available to the Holder, if on or prior to the applicable Delivery Date either</w:t>
      </w:r>
    </w:p>
    <w:p>
      <w:pPr>
        <w:spacing w:after="0" w:line="2" w:lineRule="exact"/>
        <w:rPr>
          <w:rFonts w:ascii="Times New Roman" w:cs="Times New Roman" w:eastAsia="Times New Roman" w:hAnsi="Times New Roman"/>
          <w:sz w:val="18"/>
          <w:szCs w:val="18"/>
          <w:color w:val="auto"/>
        </w:rPr>
      </w:pPr>
    </w:p>
    <w:p>
      <w:pPr>
        <w:jc w:val="both"/>
        <w:ind w:firstLine="8"/>
        <w:spacing w:after="0" w:line="250" w:lineRule="auto"/>
        <w:tabs>
          <w:tab w:leader="none" w:pos="23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Transfer Agent is not participating in FAST, the Company shall fail to issue and deliver, as elected by the Holder, a certificate or evidence of a book entry credit to the Holder and register such shares of Common Stock on the Company’s share register or, if the Transfer Agent is participating in FAST, credit the Holder’s balance account with DTC for the number of shares of Common Stock to which the Holder is entitled upon the Holder’s exercise hereunder or pursuant to the Company’s obligation pursuant to clause (ii) below or (II) if an Exercise Failure occurs, and if after such date the Holder is required by its broker to purchase (in an open market transaction or otherwise) or the Holder’s brokerage firm otherwise purchases, shares of Common Stock to deliver in satisfaction of a sale by the Holder of the Warrant Shares or Pre-Funded Warrants which the Holder anticipated receiving upon such exercise (a “</w:t>
      </w:r>
      <w:r>
        <w:rPr>
          <w:rFonts w:ascii="Times New Roman" w:cs="Times New Roman" w:eastAsia="Times New Roman" w:hAnsi="Times New Roman"/>
          <w:sz w:val="18"/>
          <w:szCs w:val="18"/>
          <w:b w:val="1"/>
          <w:bCs w:val="1"/>
          <w:i w:val="1"/>
          <w:iCs w:val="1"/>
          <w:color w:val="auto"/>
        </w:rPr>
        <w:t>Buy-In</w:t>
      </w:r>
      <w:r>
        <w:rPr>
          <w:rFonts w:ascii="Times New Roman" w:cs="Times New Roman" w:eastAsia="Times New Roman" w:hAnsi="Times New Roman"/>
          <w:sz w:val="18"/>
          <w:szCs w:val="18"/>
          <w:color w:val="auto"/>
        </w:rPr>
        <w:t xml:space="preserve">”), then the Company shall, within five (5) Trading Days after the Holder’s request, (A) pay in cash to the Holder the amount, if any, by which (x) the Holder’s total purchase price (including brokerage commissions, if any) for the shares of Common Stock so purchased exceeds (y) the amount obtained by multiplying (1) the number of Warrant Shares or Pre-Funded Warrants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or Pre-Funded Warrants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 The Company’s current transfer agent participates in FAST. In the event that the Company changes transfer agents while this Warrant is outstanding, the Company shall select a transfer agent that participates in FAST. While this Warrant is outstanding, the Company shall cause its transfer agent to participate in FAST with respect to this Warrant. In addition to the foregoing rights, (i) if the Company fails to deliver the applicable number of Warrant Shares or Pre-Funded Warrants upon an exercise pursuant to Section 1 by the applicable Delivery Date, then the Holder shall have the right to rescind such exercise in whole or in part and retain and/or have the Company return, as the case may be, any portion of this Warrant that has not been exercised pursuant to such Exercise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rescission of an exercise shall not affect the Company’s obligation to make any payments that have accrued prior to the date of such notice pursuant to this Section 1(d) or otherwise, and (ii) if a registration statement covering the issuance or resale of the Warrant Shares or Pre-Funded Warrants that are subject to an Exercise Notice is not available for the issuance or resale, as applicable, of such Exercise Notice Warrant Shares or Exercise Notice Pre-Funded Warrants and the Holder has submitted an Exercise Notice prior to receiving notice of the non-availability of such registration statement and the Company has not already delivered the Warrant Shares or Pre-Funded Warrants underlying such Exercise Notice electronically without any restrictive legend by crediting such aggregate number of Warrant Shares or Pre-Funded Warrants to which the Holder is entitled pursuant to such exercise to the Holder’s or its designee’s balance account with DTC through its Deposit / Withdrawal At Custodian system, the Holder shall have the option, by delivery of notice to the Company, to rescind such Exercise Notice in whole or in part and retain or have returned, as the case may be, any portion of this Warrant that has not been exercised pursuant to such Exercise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rescission of an Exercise Notice shall not affect the Company’s obligation to make any payments that have accrued prior to the date of such notice pursuant to this Section 1(d) or otherwise and/or switch some or all of such Exercise Notice from a cash exercise to a Cashless Exercise.</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 w:name="page12"/>
    <w:bookmarkEnd w:id="11"/>
    <w:p>
      <w:pPr>
        <w:jc w:val="both"/>
        <w:ind w:firstLine="980"/>
        <w:spacing w:after="0" w:line="266" w:lineRule="auto"/>
        <w:tabs>
          <w:tab w:leader="none" w:pos="139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Disputes</w:t>
      </w:r>
      <w:r>
        <w:rPr>
          <w:rFonts w:ascii="Times New Roman" w:cs="Times New Roman" w:eastAsia="Times New Roman" w:hAnsi="Times New Roman"/>
          <w:sz w:val="18"/>
          <w:szCs w:val="18"/>
          <w:color w:val="auto"/>
        </w:rPr>
        <w:t>. In the case of a dispute as to the determination of the applicable Exercise Price or the arithmetic calculation of the Warrant Shares or Pre-Funded Warrants, the Company shall promptly issue to the Holder the number of Warrant Shares or Pre-Funded Warrants that are not disputed and resolve such dispute in accordance with Section 11.</w:t>
      </w:r>
    </w:p>
    <w:p>
      <w:pPr>
        <w:spacing w:after="0" w:line="175" w:lineRule="exact"/>
        <w:rPr>
          <w:rFonts w:ascii="Times New Roman" w:cs="Times New Roman" w:eastAsia="Times New Roman" w:hAnsi="Times New Roman"/>
          <w:sz w:val="18"/>
          <w:szCs w:val="18"/>
          <w:color w:val="auto"/>
        </w:rPr>
      </w:pPr>
    </w:p>
    <w:p>
      <w:pPr>
        <w:ind w:left="1340" w:hanging="360"/>
        <w:spacing w:after="0"/>
        <w:tabs>
          <w:tab w:leader="none" w:pos="1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2" w:lineRule="auto"/>
        <w:tabs>
          <w:tab w:leader="none" w:pos="17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the Company shall not effect the exercise of any portion of this Warrant for Warrant Shares, and the Holder shall not have the right to exercise any portion of this Warrant for Warrant Shares, pursuant to the terms and conditions of this Warrant and any such exercise of this Warrant for Warrant Shares shall as further described below be treated as an exercise of this Warrant for Pre-Funded Warrants, to the extent that after giving effect to such exercise of the Warrant for Warrant Shares, the Holder together with the other Attribution Parties collectively would beneficially own in excess of 4.99% (the “</w:t>
      </w:r>
      <w:r>
        <w:rPr>
          <w:rFonts w:ascii="Times New Roman" w:cs="Times New Roman" w:eastAsia="Times New Roman" w:hAnsi="Times New Roman"/>
          <w:sz w:val="18"/>
          <w:szCs w:val="18"/>
          <w:b w:val="1"/>
          <w:bCs w:val="1"/>
          <w:i w:val="1"/>
          <w:iCs w:val="1"/>
          <w:color w:val="auto"/>
        </w:rPr>
        <w:t>Maximum Percentage</w:t>
      </w:r>
      <w:r>
        <w:rPr>
          <w:rFonts w:ascii="Times New Roman" w:cs="Times New Roman" w:eastAsia="Times New Roman" w:hAnsi="Times New Roman"/>
          <w:sz w:val="18"/>
          <w:szCs w:val="18"/>
          <w:color w:val="auto"/>
        </w:rPr>
        <w:t xml:space="preserve">”) of the number of shares of Common Stock outstanding immediately after giving effect to such exercise of the Warrants for Warrant Shares. In any case in which the exercise of the Warrant for Warrant Shares would result in the Holder together with the other Attribution Parties collectively beneficially owning shares of Common Stock in excess of the Maximum Percentage, the Company shall issue to the Holder the number of shares of Common Stock that would result in such Holder beneficially owning shares of Common Stock equal to the Maximum Percentage. Any shares of Common Stock otherwise due to such Holder upon such exercise in excess of the Maximum Percentage will in lieu thereof be issued in the form of Pre-Funded Warrants pursuant to the form of the Pre-Funded Warrant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and, as soon as reasonably practicable, the Company shall return to the Holder any Exercise Price paid by the Holder for the Reduction Shares (as defined below) in excess of the Exercise Price for the Pre-Funded Warrants issued to the Holder. Upon delivery of a written notice to the Company, the Holder may from time to time terminate, increase or decrease the Maximum Percentage to any other percentage as specified in such notice</w:t>
      </w:r>
      <w:r>
        <w:rPr>
          <w:rFonts w:ascii="Times New Roman" w:cs="Times New Roman" w:eastAsia="Times New Roman" w:hAnsi="Times New Roman"/>
          <w:sz w:val="18"/>
          <w:szCs w:val="18"/>
          <w:u w:val="single" w:color="auto"/>
          <w:color w:val="auto"/>
        </w:rPr>
        <w:t>, provided that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the Maximum Percentage in no event exceeds 9.99% of the number of shares of the Common Stock outstanding immediately after giving effect to the issuance of shares of Common Stock upon exercise of the Warrants for Warrant Shares held by the 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 any such increase in the Maximum Percentage will not be effective until the sixty-first (61st) day after such notice is delivered to the Company and (ii) any such increase or decrease will apply only to the Holder and the other Attribution Parties and not to any other holder of Warrants that is not an Attribution Party of the Holder. For purposes of clarity, the shares of Common Stock issuable pursuant to the terms of this Warrant in excess of the Maximum Percentage shall not be deemed to be beneficially owned by the Holder for any purpose including for purposes of Section 13(d) or Rule 16a-1(a)(1) of the 1934 Act (as defined below).</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 w:name="page13"/>
    <w:bookmarkEnd w:id="12"/>
    <w:p>
      <w:pPr>
        <w:jc w:val="both"/>
        <w:ind w:firstLine="1304"/>
        <w:spacing w:after="0" w:line="252" w:lineRule="auto"/>
        <w:tabs>
          <w:tab w:leader="none" w:pos="172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determining the Maximum Percentage,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including the other Warrants) beneficially owned by the Holder or any other Attribution Party subject to a limitation on conversion or exercise analogous to the limitation contained in Section 1(f)(1). For purposes of Section 1(f)(1), beneficial ownership shall be calculated in accordance with Section 13(d) of the Securities Exchange Act of 1934, as amended (the “</w:t>
      </w:r>
      <w:r>
        <w:rPr>
          <w:rFonts w:ascii="Times New Roman" w:cs="Times New Roman" w:eastAsia="Times New Roman" w:hAnsi="Times New Roman"/>
          <w:sz w:val="18"/>
          <w:szCs w:val="18"/>
          <w:b w:val="1"/>
          <w:bCs w:val="1"/>
          <w:i w:val="1"/>
          <w:iCs w:val="1"/>
          <w:color w:val="auto"/>
        </w:rPr>
        <w:t>1934 Act</w:t>
      </w:r>
      <w:r>
        <w:rPr>
          <w:rFonts w:ascii="Times New Roman" w:cs="Times New Roman" w:eastAsia="Times New Roman" w:hAnsi="Times New Roman"/>
          <w:sz w:val="18"/>
          <w:szCs w:val="18"/>
          <w:color w:val="auto"/>
        </w:rPr>
        <w:t>”). For purposes of this Warrant, in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and Current Reports on Form 8-K or other public filing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as the case may be, (y) a more recent public announcement by the Company or (z) any other written notice by the Company or the Transfer Agent setting forth the number of shares of Common Stock outstanding (the “</w:t>
      </w:r>
      <w:r>
        <w:rPr>
          <w:rFonts w:ascii="Times New Roman" w:cs="Times New Roman" w:eastAsia="Times New Roman" w:hAnsi="Times New Roman"/>
          <w:sz w:val="18"/>
          <w:szCs w:val="18"/>
          <w:b w:val="1"/>
          <w:bCs w:val="1"/>
          <w:i w:val="1"/>
          <w:iCs w:val="1"/>
          <w:color w:val="auto"/>
        </w:rPr>
        <w:t>Reported Outstanding Share Number</w:t>
      </w:r>
      <w:r>
        <w:rPr>
          <w:rFonts w:ascii="Times New Roman" w:cs="Times New Roman" w:eastAsia="Times New Roman" w:hAnsi="Times New Roman"/>
          <w:sz w:val="18"/>
          <w:szCs w:val="18"/>
          <w:color w:val="auto"/>
        </w:rPr>
        <w:t>”). If the Company receives an Exercise Notice from the Holder at a time when the actual number of outstanding shares of Common Stock is less than the Reported Outstanding Share Number, the Company shall (i) promptly notify the Holder in writing of the number of shares of Common Stock then outstanding and, to the extent that such Exercise Notice would otherwise cause the Holder’s beneficial ownership, as determined pursuant to this Section 1(f), to exceed the Maximum Percentage, the Company will issue Pre-Funded Warrants in lieu of Warrant Shares that would cause the Holder’s beneficial ownership to exceed the Maximum Percentage (the number of Warrant Shares by which such purchase is reduced, the “</w:t>
      </w:r>
      <w:r>
        <w:rPr>
          <w:rFonts w:ascii="Times New Roman" w:cs="Times New Roman" w:eastAsia="Times New Roman" w:hAnsi="Times New Roman"/>
          <w:sz w:val="18"/>
          <w:szCs w:val="18"/>
          <w:b w:val="1"/>
          <w:bCs w:val="1"/>
          <w:i w:val="1"/>
          <w:iCs w:val="1"/>
          <w:color w:val="auto"/>
        </w:rPr>
        <w:t>Reduction Shares</w:t>
      </w:r>
      <w:r>
        <w:rPr>
          <w:rFonts w:ascii="Times New Roman" w:cs="Times New Roman" w:eastAsia="Times New Roman" w:hAnsi="Times New Roman"/>
          <w:sz w:val="18"/>
          <w:szCs w:val="18"/>
          <w:color w:val="auto"/>
        </w:rPr>
        <w:t>”) and (ii) as soon as reasonably practicable, and in any event, within five (5) Trading Days, the Company shall return to the Holder any Exercise Price paid by the Holder for the Reduction Shares in excess of the Exercise Price for the Pre-Funded Warrants issued to the Holder.</w:t>
      </w:r>
    </w:p>
    <w:p>
      <w:pPr>
        <w:spacing w:after="0" w:line="187" w:lineRule="exact"/>
        <w:rPr>
          <w:rFonts w:ascii="Times New Roman" w:cs="Times New Roman" w:eastAsia="Times New Roman" w:hAnsi="Times New Roman"/>
          <w:sz w:val="18"/>
          <w:szCs w:val="18"/>
          <w:color w:val="auto"/>
        </w:rPr>
      </w:pPr>
    </w:p>
    <w:p>
      <w:pPr>
        <w:jc w:val="both"/>
        <w:ind w:firstLine="1304"/>
        <w:spacing w:after="0" w:line="253" w:lineRule="auto"/>
        <w:tabs>
          <w:tab w:leader="none" w:pos="170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upon receipt of an Exercise Notice, by the Holder and any other Attribution Party since the date as of which the Reported Outstanding Share Number was reported. No prior inability to exercise this Warrant pursuant to this paragraph shall have any effect on the applicability of the provisions of this paragraph with respect to any subsequent determination of exercisability. The provisions of this paragraph shall not be construed and implemented in a manner otherwise than in strict conformity with the terms of this Section 1(f) to the extent necessary to correct this paragraph or any portion of this paragraph which may be defective or inconsistent with the intended beneficial ownership limitation contained in this Section 1(f) or to make changes or supplements necessary or desirable to properly give effect to such limitation. The limitation contained in this paragraph may not be waived and shall apply to a successor holder of this Warrant.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 w:name="page14"/>
    <w:bookmarkEnd w:id="13"/>
    <w:p>
      <w:pPr>
        <w:jc w:val="both"/>
        <w:ind w:firstLine="980"/>
        <w:spacing w:after="0" w:line="253" w:lineRule="auto"/>
        <w:tabs>
          <w:tab w:leader="none" w:pos="136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Reserve Amount</w:t>
      </w:r>
      <w:r>
        <w:rPr>
          <w:rFonts w:ascii="Times New Roman" w:cs="Times New Roman" w:eastAsia="Times New Roman" w:hAnsi="Times New Roman"/>
          <w:sz w:val="18"/>
          <w:szCs w:val="18"/>
          <w:color w:val="auto"/>
        </w:rPr>
        <w:t>. So long as this Warrant remains outstanding, the Company shall at all times keep reserved for issuance under this Warrant a number of shares of Common Stock at least equal to 100% of the maximum number of shares of Common Stock as shall be necessary to satisfy the Company’s obligation to issue shares of Common Stock under the Warrants then outstanding (without regard to any limitations on exercise) (the “</w:t>
      </w:r>
      <w:r>
        <w:rPr>
          <w:rFonts w:ascii="Times New Roman" w:cs="Times New Roman" w:eastAsia="Times New Roman" w:hAnsi="Times New Roman"/>
          <w:sz w:val="18"/>
          <w:szCs w:val="18"/>
          <w:b w:val="1"/>
          <w:bCs w:val="1"/>
          <w:i w:val="1"/>
          <w:iCs w:val="1"/>
          <w:color w:val="auto"/>
        </w:rPr>
        <w:t>Required Reserve Amount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at no time shall the number of shares of Common Stock reserved pursuant to this Section 1(g) be reduced other than in connection with any exercise of Warrants or such other event covered by Section 2(c) below. The Required Reserve Amount (including, without limitation, each increase in the number of shares so reserved) shall be allocated pro rata among the holders of the Warrants based on the number of shares of Common Stock issuable upon exercise of Warrants held by each holder thereof on the Issuance Date (without regard to any limitations on exercise) (the “</w:t>
      </w:r>
      <w:r>
        <w:rPr>
          <w:rFonts w:ascii="Times New Roman" w:cs="Times New Roman" w:eastAsia="Times New Roman" w:hAnsi="Times New Roman"/>
          <w:sz w:val="18"/>
          <w:szCs w:val="18"/>
          <w:b w:val="1"/>
          <w:bCs w:val="1"/>
          <w:i w:val="1"/>
          <w:iCs w:val="1"/>
          <w:color w:val="auto"/>
        </w:rPr>
        <w:t>Authorized Share Allocation</w:t>
      </w:r>
      <w:r>
        <w:rPr>
          <w:rFonts w:ascii="Times New Roman" w:cs="Times New Roman" w:eastAsia="Times New Roman" w:hAnsi="Times New Roman"/>
          <w:sz w:val="18"/>
          <w:szCs w:val="18"/>
          <w:color w:val="auto"/>
        </w:rPr>
        <w:t>”). In the event that a holder shall sell or otherwise transfer any of such holder’s Warrants, each transferee shall be allocated a pro rata portion of such holder’s Authorized Share Allocation. Any shares of Common Stock reserved and allocated to any Person which ceases to hold any Warrants shall be allocated to the remaining holders of Warrants, pro rata based on the number of shares of Common Stock issuable upon exercise of the Warrants then held by such holders thereof (without regard to any limitations on exercise).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 w:name="page15"/>
    <w:bookmarkEnd w:id="14"/>
    <w:p>
      <w:pPr>
        <w:jc w:val="both"/>
        <w:ind w:firstLine="980"/>
        <w:spacing w:after="0" w:line="253" w:lineRule="auto"/>
        <w:tabs>
          <w:tab w:leader="none" w:pos="136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Insufficient Authorized Shares</w:t>
      </w:r>
      <w:r>
        <w:rPr>
          <w:rFonts w:ascii="Times New Roman" w:cs="Times New Roman" w:eastAsia="Times New Roman" w:hAnsi="Times New Roman"/>
          <w:sz w:val="18"/>
          <w:szCs w:val="18"/>
          <w:color w:val="auto"/>
        </w:rPr>
        <w:t>. If at any time while this Warrant remains outstanding the Company does not have a sufficient number of authorized and unreserved shares of Common Stock to satisfy its obligation to reserve for issuance the Required Reserve Amount (an “</w:t>
      </w:r>
      <w:r>
        <w:rPr>
          <w:rFonts w:ascii="Times New Roman" w:cs="Times New Roman" w:eastAsia="Times New Roman" w:hAnsi="Times New Roman"/>
          <w:sz w:val="18"/>
          <w:szCs w:val="18"/>
          <w:b w:val="1"/>
          <w:bCs w:val="1"/>
          <w:i w:val="1"/>
          <w:iCs w:val="1"/>
          <w:color w:val="auto"/>
        </w:rPr>
        <w:t>Authorized 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Failure</w:t>
      </w:r>
      <w:r>
        <w:rPr>
          <w:rFonts w:ascii="Times New Roman" w:cs="Times New Roman" w:eastAsia="Times New Roman" w:hAnsi="Times New Roman"/>
          <w:sz w:val="18"/>
          <w:szCs w:val="18"/>
          <w:color w:val="auto"/>
        </w:rPr>
        <w:t>”), then the Company shall promptly take all action reasonably necessary to increase the Company’s authorized shares of Common Stock to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amount sufficient to allow the Company to reserve the Required Reserve Amount for this Warrant then outstanding. Without limiting the generality of the foregoing sentence, as soon as practicable after the date of the occurrence of an Authorized Share Failure, but in no event later than ninety (90)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 and to cause its Board of Directors to recommend to the stockholders that they approve such proposal. Notwithstanding the foregoing, if at the time of an Authorized Share Failure, the Company is able to obtain the written consent of a majority of the shares of its issued and outstanding shares of Common Stock to approve the increase in the number of authorized shares of Common Stock, the Company may satisfy this obligation by obtaining such consent and submitting for filing with the Commission an Information Statement on Schedule 14C.</w:t>
      </w:r>
    </w:p>
    <w:p>
      <w:pPr>
        <w:spacing w:after="0" w:line="189" w:lineRule="exact"/>
        <w:rPr>
          <w:rFonts w:ascii="Times New Roman" w:cs="Times New Roman" w:eastAsia="Times New Roman" w:hAnsi="Times New Roman"/>
          <w:sz w:val="18"/>
          <w:szCs w:val="18"/>
          <w:color w:val="auto"/>
        </w:rPr>
      </w:pPr>
    </w:p>
    <w:p>
      <w:pPr>
        <w:ind w:firstLine="656"/>
        <w:spacing w:after="0" w:line="282" w:lineRule="auto"/>
        <w:tabs>
          <w:tab w:leader="none" w:pos="10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OF EXERCISE PRICE AND NUMBER OF WARRANT SHARES OR PRE-FUNDED WARRANTS</w:t>
      </w:r>
      <w:r>
        <w:rPr>
          <w:rFonts w:ascii="Times New Roman" w:cs="Times New Roman" w:eastAsia="Times New Roman" w:hAnsi="Times New Roman"/>
          <w:sz w:val="18"/>
          <w:szCs w:val="18"/>
          <w:color w:val="auto"/>
        </w:rPr>
        <w:t>. The Exercise Price and the number of Warrant Shares or Pre-Funded Warrants shall be adjusted from time to time as follows:</w:t>
      </w:r>
    </w:p>
    <w:p>
      <w:pPr>
        <w:spacing w:after="0" w:line="161" w:lineRule="exact"/>
        <w:rPr>
          <w:rFonts w:ascii="Times New Roman" w:cs="Times New Roman" w:eastAsia="Times New Roman" w:hAnsi="Times New Roman"/>
          <w:sz w:val="18"/>
          <w:szCs w:val="18"/>
          <w:color w:val="auto"/>
        </w:rPr>
      </w:pPr>
    </w:p>
    <w:p>
      <w:pPr>
        <w:ind w:left="1360" w:hanging="380"/>
        <w:spacing w:after="0"/>
        <w:tabs>
          <w:tab w:leader="none" w:pos="13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980"/>
        <w:spacing w:after="0" w:line="254" w:lineRule="auto"/>
        <w:tabs>
          <w:tab w:leader="none" w:pos="147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Upon Subdivision or Combination of Common Stock</w:t>
      </w:r>
      <w:r>
        <w:rPr>
          <w:rFonts w:ascii="Times New Roman" w:cs="Times New Roman" w:eastAsia="Times New Roman" w:hAnsi="Times New Roman"/>
          <w:sz w:val="18"/>
          <w:szCs w:val="18"/>
          <w:color w:val="auto"/>
        </w:rPr>
        <w:t>. If the Company at any time on or after the Subscription Date subdivides (by any stock split, stock dividend, recapitalization or otherwise) one or more classes of its outstanding shares of Common Stock into a greater number of shares, the Exercise Price in effect immediately prior to such subdivision will be proportionately reduced and the number of Warrant Shares or Pre-Funded Warrants will be proportionately increased. If the Company at any time on or after the Subscription Date combines (by combination, reverse stock split or otherwise) one or more classes of its outstanding shares of Common Stock into a smaller number of shares, the Exercise Price in effect immediately prior to such combination will be proportionately increased and the number of Warrant Shares or Pre-Funded Warrants will be proportionately decreased. Any adjustment under this Section 2(b) shall become effective at the close of business on the date the subdivision or combination becomes effective.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 w:name="page16"/>
    <w:bookmarkEnd w:id="15"/>
    <w:p>
      <w:pPr>
        <w:jc w:val="both"/>
        <w:ind w:firstLine="980"/>
        <w:spacing w:after="0" w:line="258" w:lineRule="auto"/>
        <w:tabs>
          <w:tab w:leader="none" w:pos="1392"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Events</w:t>
      </w:r>
      <w:r>
        <w:rPr>
          <w:rFonts w:ascii="Times New Roman" w:cs="Times New Roman" w:eastAsia="Times New Roman" w:hAnsi="Times New Roman"/>
          <w:sz w:val="18"/>
          <w:szCs w:val="18"/>
          <w:color w:val="auto"/>
        </w:rPr>
        <w:t xml:space="preserve">. If any event occurs of the type contemplated by the provisions of this Section 2 but not expressly provided for by such provisions (including, without limitation, the granting of stock appreciation rights, phantom stock rights or other rights with equity features), then the Company’s Board of Directors will make an appropriate adjustment in the Exercise Price and the number of Warrant Shares, as mutually determined by the Company’s Board of Directors and the Required Holders, so as to protect the rights of the Holder;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adjustment pursuant to this Section 2(c) will increase the Exercise Price or decrease the number of Warrant Shares as otherwise determined pursuant to this Section 2.</w:t>
      </w:r>
    </w:p>
    <w:p>
      <w:pPr>
        <w:spacing w:after="0" w:line="183" w:lineRule="exact"/>
        <w:rPr>
          <w:rFonts w:ascii="Times New Roman" w:cs="Times New Roman" w:eastAsia="Times New Roman" w:hAnsi="Times New Roman"/>
          <w:sz w:val="18"/>
          <w:szCs w:val="18"/>
          <w:color w:val="auto"/>
        </w:rPr>
      </w:pPr>
    </w:p>
    <w:p>
      <w:pPr>
        <w:jc w:val="both"/>
        <w:ind w:firstLine="656"/>
        <w:spacing w:after="0" w:line="252" w:lineRule="auto"/>
        <w:tabs>
          <w:tab w:leader="none" w:pos="99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UPON DISTRIBUTION OF ASSETS</w:t>
      </w:r>
      <w:r>
        <w:rPr>
          <w:rFonts w:ascii="Times New Roman" w:cs="Times New Roman" w:eastAsia="Times New Roman" w:hAnsi="Times New Roman"/>
          <w:sz w:val="18"/>
          <w:szCs w:val="18"/>
          <w:color w:val="auto"/>
        </w:rPr>
        <w:t>. In addition to any adjustments pursuant to Section 2 above, if, on or after the Subscription Date and on or prior to the Expiration Date, the Company shall declare or make any dividend or other distribution of its assets (or rights to acquire its assets) to holders of shares of Common Stock, by way of return of capital or otherwise, other than cash (including, without limitation, any distribution of stock or other securities, property, options, evidence of indebtedness or any other assets by way of a dividend, spin off, reclassification, corporate rearrangement, scheme of arrangement or other similar transaction) (a “</w:t>
      </w:r>
      <w:r>
        <w:rPr>
          <w:rFonts w:ascii="Times New Roman" w:cs="Times New Roman" w:eastAsia="Times New Roman" w:hAnsi="Times New Roman"/>
          <w:sz w:val="18"/>
          <w:szCs w:val="18"/>
          <w:b w:val="1"/>
          <w:bCs w:val="1"/>
          <w:i w:val="1"/>
          <w:iCs w:val="1"/>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and the other Attribution Parties exceeding the Maximum Percentage, then the Holder shall not be entitled to participate in such Distribution to such extent (and shall not be entitled to beneficial ownership of such shares of Common Stock as a result of such Distribution (and beneficial ownership) to such extent) and the portion of such Distribution shall be held in abeyance for the benefit of the Holder until such time or times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19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RIGHTS; FUNDAMENTAL TRANSACTIONS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980"/>
        <w:spacing w:after="0" w:line="252" w:lineRule="auto"/>
        <w:tabs>
          <w:tab w:leader="none" w:pos="137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In addition to any adjustments pursuant to Section 2 above, if at any time on or after the Subscription Date and on or prior to the Expiration Date the Company grants, issues or sells any Options, Convertible Securities or rights to purchase stock, warrants, securities or other property pro rata to the record holders of any class of Common Stock (the “</w:t>
      </w:r>
      <w:r>
        <w:rPr>
          <w:rFonts w:ascii="Times New Roman" w:cs="Times New Roman" w:eastAsia="Times New Roman" w:hAnsi="Times New Roman"/>
          <w:sz w:val="18"/>
          <w:szCs w:val="18"/>
          <w:b w:val="1"/>
          <w:bCs w:val="1"/>
          <w:i w:val="1"/>
          <w:iCs w:val="1"/>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Common Stock are to be determined for the grant, issuance or sale of such Purchase Rights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to the extent that the Holder’s 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Common Stock as a result of such Purchase Right (and beneficial ownership) to such extent) and such Purchase Right to such extent shall be held in abeyance for the benefit of the Holder until such time or times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to be held similarly in abeyance) to the same extent as if there had been no such limitation).</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 w:name="page17"/>
    <w:bookmarkEnd w:id="16"/>
    <w:p>
      <w:pPr>
        <w:jc w:val="both"/>
        <w:ind w:firstLine="980"/>
        <w:spacing w:after="0" w:line="251" w:lineRule="auto"/>
        <w:tabs>
          <w:tab w:leader="none" w:pos="145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The Company shall not enter into or be party to a Fundamental Transaction unless the Successor Entity assumes in writing all of the obligations of the Company under the Transaction Documents, including this Warrant in accordance with the provisions of this Section 4(b),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Upon the consummation of each Fundamental Transaction, the Successor Entity shall succeed to, and be substituted for the Company (so that from and after the date of the applicable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 Upon consummation of each Fundamental Transaction, the Successor Entity shall deliver to the Holder confirmation that there shall be issued upon exercise of this Warrant at any time after the consummation of the applicable Fundamental Transaction, in lieu of the Warrant Shares and/or Pre-Funded Warrants (or other securities, cash, assets or other property (except such items still issuable under Sections 3 and 4(a) above, which shall continue to be receivable thereafter)) issuable upon the exercise of this Warrant prior to the applicable Fundamental Transaction, such shares of common stock (or its equivalent) of the Successor Entity (including its Parent Entity) which the Holder would have been entitled to receive upon the happening of the applicable Fundamental Transaction had this Warrant been exercised immediately prior to the applicable Fundamental Transaction (without regard to any limitations on the exercise of this Warrant), as adjusted in accordance with the provisions of this Warrant. Notwithstanding the foregoing, and without limiting Section 1(e) hereof, the Holder may elect, at its sole option, by delivery of written notice to the Company to waive this Section 4(b) to permit the Fundamental Transaction without the assumption of this Warrant. 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Times New Roman" w:cs="Times New Roman" w:eastAsia="Times New Roman" w:hAnsi="Times New Roman"/>
          <w:sz w:val="18"/>
          <w:szCs w:val="18"/>
          <w:b w:val="1"/>
          <w:bCs w:val="1"/>
          <w:i w:val="1"/>
          <w:iCs w:val="1"/>
          <w:color w:val="auto"/>
        </w:rPr>
        <w:t>Corporate Event</w:t>
      </w:r>
      <w:r>
        <w:rPr>
          <w:rFonts w:ascii="Times New Roman" w:cs="Times New Roman" w:eastAsia="Times New Roman" w:hAnsi="Times New Roman"/>
          <w:sz w:val="18"/>
          <w:szCs w:val="18"/>
          <w:color w:val="auto"/>
        </w:rPr>
        <w:t xml:space="preserve">”), the Company shall make appropriate provision to insure that the Holder will thereafter have the right to receive upon an exercise of this Warrant at any time after the consummation of the applicable Fundamental Transaction but prior to the Expiration Date, in lieu of the Warrant Shares and/or Pre-Funded Warrants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The provision made pursuant to the preceding sentence shall be in a form and substance reasonably satisfactory to the Holder. The provisions of this Section 4(b) shall apply similarly and equally to successive Fundamental Transactions and Corporate Events.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the Fundamental Transaction is not within the Company's control, including not approved by the Company's Board of Directors, Holder shall only be entitled to receive from the Company or any Successor Entity the same type or form of consideration (and in the same proportion),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holders of Common Stock of the Company are not offered or paid any consideration in such Fundamental Transaction, such holders of Common Stock will be deemed to have received common stock of the Successor Entity (which Entity may be the Company following such Fundamental Transaction) in such Fundamental Transaction. “</w:t>
      </w:r>
      <w:r>
        <w:rPr>
          <w:rFonts w:ascii="Times New Roman" w:cs="Times New Roman" w:eastAsia="Times New Roman" w:hAnsi="Times New Roman"/>
          <w:sz w:val="18"/>
          <w:szCs w:val="18"/>
          <w:b w:val="1"/>
          <w:bCs w:val="1"/>
          <w:i w:val="1"/>
          <w:iCs w:val="1"/>
          <w:color w:val="auto"/>
        </w:rPr>
        <w:t>Black Scholes Value</w:t>
      </w:r>
      <w:r>
        <w:rPr>
          <w:rFonts w:ascii="Times New Roman" w:cs="Times New Roman" w:eastAsia="Times New Roman" w:hAnsi="Times New Roman"/>
          <w:sz w:val="18"/>
          <w:szCs w:val="18"/>
          <w:color w:val="auto"/>
        </w:rPr>
        <w:t>” means the value of this Warrant based on the Black 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Expiration Date, (B) an expected volatility equal to the 100 day volatility obtained from the HVT function on Bloomberg (determined utilizing a 365-day annualization factor) as of the Trading Day immediately following the public announcement of the applicable contemplated Fundamental Transaction, (C) the underlying price per share used in such calculation shall be the sum of the price per share being offered in cash, if any, plus the value of any non-cash consideration, if any, being offered in such Fundamental Transaction and (D) a remaining option time equal to the time between the date of the public announcement of the applicable contemplated Fundamental Transaction and the Expiration Date and (E) a zero cost of borrow. The payment of the Black Scholes Value will be made by wire transfer of immediately available funds (or such other consideration) within five (5) Trading Days of the Holder’s election (or, if later, on the effective date of the Fundamental Transaction).</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 w:name="page18"/>
    <w:bookmarkEnd w:id="17"/>
    <w:p>
      <w:pPr>
        <w:jc w:val="both"/>
        <w:ind w:firstLine="656"/>
        <w:spacing w:after="0" w:line="253" w:lineRule="auto"/>
        <w:tabs>
          <w:tab w:leader="none" w:pos="108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NONCIRCUMVENTION</w:t>
      </w:r>
      <w:r>
        <w:rPr>
          <w:rFonts w:ascii="Times New Roman" w:cs="Times New Roman" w:eastAsia="Times New Roman" w:hAnsi="Times New Roman"/>
          <w:sz w:val="18"/>
          <w:szCs w:val="18"/>
          <w:color w:val="auto"/>
        </w:rPr>
        <w:t>. The Company hereby covenants and agrees that the Company will not, by amendment of its Certificate of Incorporation or Bylaws, each as amended to date, or through any reorganization, transfer of assets, consolidation, merger, scheme of arrangement, dissolution, issuance or sale of securities, or any other voluntary action, avoid or seek to avoid the observance or performance of any of the terms of this Warrant, and will at all times in good faith carry out all of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exercise of this Warrant, and (iii) shall, so long as any of the Warrants are outstanding, take all action necessary to reserve and keep available out of its authorized and unissued shares of Common Stock, solely for the purpose of effecting the exercise of the Warrants, the number of shares of Common Stock as shall from time to time be necessary to effect the exercise of the Warrants then outstanding (without regard to any limitations on exercise).</w:t>
      </w:r>
    </w:p>
    <w:p>
      <w:pPr>
        <w:spacing w:after="0" w:line="194" w:lineRule="exact"/>
        <w:rPr>
          <w:rFonts w:ascii="Times New Roman" w:cs="Times New Roman" w:eastAsia="Times New Roman" w:hAnsi="Times New Roman"/>
          <w:sz w:val="18"/>
          <w:szCs w:val="18"/>
          <w:color w:val="auto"/>
        </w:rPr>
      </w:pPr>
    </w:p>
    <w:p>
      <w:pPr>
        <w:jc w:val="both"/>
        <w:ind w:firstLine="656"/>
        <w:spacing w:after="0" w:line="253" w:lineRule="auto"/>
        <w:tabs>
          <w:tab w:leader="none" w:pos="103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HOLDER NOT DEEMED A STOCKHOLDER</w:t>
      </w:r>
      <w:r>
        <w:rPr>
          <w:rFonts w:ascii="Times New Roman" w:cs="Times New Roman" w:eastAsia="Times New Roman" w:hAnsi="Times New Roman"/>
          <w:sz w:val="18"/>
          <w:szCs w:val="18"/>
          <w:color w:val="auto"/>
        </w:rPr>
        <w:t>. Except as otherwise specifically provided herein, the Holder, solely in such Person’s capacity as a holder of this Warrant, shall not be entitled to vote or receive dividends or be deemed the holder of capital stock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or Pre-Funded Warrants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Section 6, the Company shall provide the Holder with copies of the same notices and other information given to the stockholders of the Company generally, contemporaneously with the giving thereof to the stockholders. Without limiting any rights of a Holder to receive Warrant Shares or Pre-Funded Warrants on a “Cashless Exercise” pursuant to Section 1(c) or to receive cash payments pursuant to Section 1(d) herein, in no event shall the Company be required to net cash settle an exercise of this Warrant.</w:t>
      </w:r>
    </w:p>
    <w:p>
      <w:pPr>
        <w:spacing w:after="0" w:line="18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REISSUANCE OF WARRANTS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980"/>
        <w:spacing w:after="0" w:line="258" w:lineRule="auto"/>
        <w:tabs>
          <w:tab w:leader="none" w:pos="145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 If this Warrant is to be transferred, the Holder shall surrender this Warrant to the Company, whereupon the Company will forthwith issue and deliver upon the order of the Holder a new Warrant (in accordance with Section 7(d)), registered as the Holder may request, representing the right to purchase the number of Warrant Shares or Pre-Funded Warrants being transferred by the Holder and, if less than the total number of Warrant Shares or Pre-Funded Warrants then underlying this Warrant is being transferred, a new Warrant (in accordance with Section 7(d)) to the Holder representing the right to purchase the number of Warrant Shares or Pre-Funded Warrants not being transferred.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 w:name="page19"/>
    <w:bookmarkEnd w:id="18"/>
    <w:p>
      <w:pPr>
        <w:jc w:val="both"/>
        <w:ind w:firstLine="980"/>
        <w:spacing w:after="0" w:line="258" w:lineRule="auto"/>
        <w:tabs>
          <w:tab w:leader="none" w:pos="1375"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Stolen or Mutilated Warrant</w:t>
      </w:r>
      <w:r>
        <w:rPr>
          <w:rFonts w:ascii="Times New Roman" w:cs="Times New Roman" w:eastAsia="Times New Roman" w:hAnsi="Times New Roman"/>
          <w:sz w:val="18"/>
          <w:szCs w:val="18"/>
          <w:color w:val="auto"/>
        </w:rPr>
        <w:t>. Upon receipt by the Company of evidence reasonably satisfactory to the Company of the loss, theft, destruction or mutilation of this Warrant, and, in the case of loss, theft or destruction, of any indemnification undertaking by the Holder to the Company in customary form (but without the obligation to post a bond) and, in the case of mutilation, upon surrender and cancellation of this Warrant, the Company shall execute and deliver to the Holder a new Warrant (in accordance with Section 7(d)) representing the right to purchase the Warrant Shares or Pre-Funded Warrants then underlying this Warrant.</w:t>
      </w:r>
    </w:p>
    <w:p>
      <w:pPr>
        <w:spacing w:after="0" w:line="183" w:lineRule="exact"/>
        <w:rPr>
          <w:rFonts w:ascii="Times New Roman" w:cs="Times New Roman" w:eastAsia="Times New Roman" w:hAnsi="Times New Roman"/>
          <w:sz w:val="18"/>
          <w:szCs w:val="18"/>
          <w:color w:val="auto"/>
        </w:rPr>
      </w:pPr>
    </w:p>
    <w:p>
      <w:pPr>
        <w:jc w:val="both"/>
        <w:ind w:firstLine="980"/>
        <w:spacing w:after="0" w:line="261" w:lineRule="auto"/>
        <w:tabs>
          <w:tab w:leader="none" w:pos="1351"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Exchangeable for Multiple Warrants</w:t>
      </w:r>
      <w:r>
        <w:rPr>
          <w:rFonts w:ascii="Times New Roman" w:cs="Times New Roman" w:eastAsia="Times New Roman" w:hAnsi="Times New Roman"/>
          <w:sz w:val="18"/>
          <w:szCs w:val="18"/>
          <w:color w:val="auto"/>
        </w:rPr>
        <w:t>. This Warrant is exchangeable, upon the surrender hereof by the Holder at the principal office of the Company, for a new Warrant or Warrants (in accordance with Section 7(d)) representing in the aggregate the right to purchase the number of Warrant Shares or Pre-Funded Warrants then underlying this Warrant, and each such new Warrant will represent the right to purchase such portion of such Warrant Shares or Pre-Funded Warrants as is designated by the Holder at the time of such surrender.</w:t>
      </w:r>
    </w:p>
    <w:p>
      <w:pPr>
        <w:spacing w:after="0" w:line="179" w:lineRule="exact"/>
        <w:rPr>
          <w:rFonts w:ascii="Times New Roman" w:cs="Times New Roman" w:eastAsia="Times New Roman" w:hAnsi="Times New Roman"/>
          <w:sz w:val="18"/>
          <w:szCs w:val="18"/>
          <w:color w:val="auto"/>
        </w:rPr>
      </w:pPr>
    </w:p>
    <w:p>
      <w:pPr>
        <w:jc w:val="both"/>
        <w:ind w:firstLine="980"/>
        <w:spacing w:after="0" w:line="254" w:lineRule="auto"/>
        <w:tabs>
          <w:tab w:leader="none" w:pos="1389"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New Warrants</w:t>
      </w:r>
      <w:r>
        <w:rPr>
          <w:rFonts w:ascii="Times New Roman" w:cs="Times New Roman" w:eastAsia="Times New Roman" w:hAnsi="Times New Roman"/>
          <w:sz w:val="18"/>
          <w:szCs w:val="18"/>
          <w:color w:val="auto"/>
        </w:rPr>
        <w:t>. Whenever the Company is required to issue a new Warrant pursuant to the terms of this Warrant, such new Warrant (i) shall be of like tenor with this Warrant, (ii) shall represent, as indicated on the face of such new Warrant, the right to purchase the Warrant Shares or Pre-Funded Warrants then underlying this Warrant (or in the case of a new Warrant being issued pursuant to Section 7(a) or Section 7(c), the Warrant Shares or Pre-Funded Warrants designated by the Holder which, when added to the number of shares of Common Stock underlying the other new Warrants issued in connection with such issuance, does not exceed the number of Warrant Shares or Pre-Funded Warrants then underlying this Warrant),</w:t>
      </w:r>
    </w:p>
    <w:p>
      <w:pPr>
        <w:spacing w:after="0" w:line="3" w:lineRule="exact"/>
        <w:rPr>
          <w:rFonts w:ascii="Times New Roman" w:cs="Times New Roman" w:eastAsia="Times New Roman" w:hAnsi="Times New Roman"/>
          <w:sz w:val="18"/>
          <w:szCs w:val="18"/>
          <w:color w:val="auto"/>
        </w:rPr>
      </w:pPr>
    </w:p>
    <w:p>
      <w:pPr>
        <w:ind w:right="20" w:firstLine="8"/>
        <w:spacing w:after="0" w:line="260" w:lineRule="auto"/>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have an issuance date, as indicated on the face of such new Warrant which is the same as the Issuance Date, and (iv) shall have the same rights and conditions as this Warrant.</w:t>
      </w:r>
    </w:p>
    <w:p>
      <w:pPr>
        <w:spacing w:after="0" w:line="181" w:lineRule="exact"/>
        <w:rPr>
          <w:rFonts w:ascii="Times New Roman" w:cs="Times New Roman" w:eastAsia="Times New Roman" w:hAnsi="Times New Roman"/>
          <w:sz w:val="18"/>
          <w:szCs w:val="18"/>
          <w:color w:val="auto"/>
        </w:rPr>
      </w:pPr>
    </w:p>
    <w:p>
      <w:pPr>
        <w:jc w:val="both"/>
        <w:ind w:firstLine="656"/>
        <w:spacing w:after="0" w:line="254" w:lineRule="auto"/>
        <w:tabs>
          <w:tab w:leader="none" w:pos="1003"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Whenever notice is required to be given under this Warrant, including, without limitation, an Exercise Notice, unless otherwise provided herein, such notice shall be given in writing, (i) if delivered (a) from within the domestic United States, by first-class registered or certified airmail, or nationally recognized overnight express courier, postage prepaid or electronic mail or (b) from outside the United States, by International Federal Express or electronic mail, and (ii) will be deemed given (A) if delivered by first-class registered or certified mail domestic, three (3) Business Days after so mailed, (B) if delivered by nationally recognized overnight carrier, one (1) Business Day after so mailed, (C) if delivered by International Federal Express, two (2) Business Days after so mailed and (D) at the time of transmission, if delivered by electronic mail to each of the email addresses specified in this Section 8 prior to 5:00 p.m. (New York time) on a Trading Day, and (E) the next Trading Day after the date of transmission, if delivered by electronic mail to each of the email addresses specified in this Section 8 on a day that is not a Trading Day or later than 5:00 p.m. (New York time) on any Trading Day, and will be delivered and addressed as follows:</w:t>
      </w:r>
    </w:p>
    <w:p>
      <w:pPr>
        <w:spacing w:after="0" w:line="188" w:lineRule="exact"/>
        <w:rPr>
          <w:rFonts w:ascii="Times New Roman" w:cs="Times New Roman" w:eastAsia="Times New Roman" w:hAnsi="Times New Roman"/>
          <w:sz w:val="18"/>
          <w:szCs w:val="18"/>
          <w:color w:val="auto"/>
        </w:rPr>
      </w:pPr>
    </w:p>
    <w:p>
      <w:pPr>
        <w:ind w:left="1320" w:hanging="340"/>
        <w:spacing w:after="0"/>
        <w:tabs>
          <w:tab w:leader="none" w:pos="132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w:t>
      </w:r>
    </w:p>
    <w:p>
      <w:pPr>
        <w:spacing w:after="0" w:line="22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CervoMed Inc.</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20 Park Plaza, Suite 424</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Boston, MA 02116</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Attention: John Alam, M.D.</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Email:</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 w:name="page20"/>
    <w:bookmarkEnd w:id="19"/>
    <w:p>
      <w:pPr>
        <w:ind w:left="1480" w:hanging="500"/>
        <w:spacing w:after="0"/>
        <w:tabs>
          <w:tab w:leader="none" w:pos="1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Holder, at such address or other contact information delivered by the Holder to the Company or as is on the books and records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Company.</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shall provide the Holder with prompt written notice of all actions taken pursuant to this Warrant, including in reasonable detail a description of such action and the reason therefor. Without limiting the generality of the foregoing, the Company will give written notice to the Holder (i) immediately upon any adjustment of the Exercise Price, setting forth in reasonable detail, and certifying, the calculation of such adjustment and (ii) at least fifteen (15) days prior to the date on which the Company closes its books or takes a record with respect to any dividend or distribution upon the shares of Common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each case that such information shall be made known to the public prior to or in conjunction with such notice being provided to the Holder. It is expressly understood and agreed that the time of exercise specified by the Holder in each Exercise Notice shall be definitive and may not be disputed or challenged by the Company.</w:t>
      </w:r>
    </w:p>
    <w:p>
      <w:pPr>
        <w:spacing w:after="0" w:line="189" w:lineRule="exact"/>
        <w:rPr>
          <w:sz w:val="20"/>
          <w:szCs w:val="20"/>
          <w:color w:val="auto"/>
        </w:rPr>
      </w:pPr>
    </w:p>
    <w:p>
      <w:pPr>
        <w:jc w:val="both"/>
        <w:ind w:firstLine="656"/>
        <w:spacing w:after="0" w:line="266" w:lineRule="auto"/>
        <w:tabs>
          <w:tab w:leader="none" w:pos="103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Except as otherwise provided herein, the provisions of this Warrant may be amended or waived and the Company may take any action herein prohibited, or omit to perform any act herein required to be performed by it, only if the Company has obtained the written consent of the Holder.</w:t>
      </w:r>
    </w:p>
    <w:p>
      <w:pPr>
        <w:spacing w:after="0" w:line="175" w:lineRule="exact"/>
        <w:rPr>
          <w:rFonts w:ascii="Times New Roman" w:cs="Times New Roman" w:eastAsia="Times New Roman" w:hAnsi="Times New Roman"/>
          <w:sz w:val="18"/>
          <w:szCs w:val="18"/>
          <w:color w:val="auto"/>
        </w:rPr>
      </w:pPr>
    </w:p>
    <w:p>
      <w:pPr>
        <w:jc w:val="both"/>
        <w:ind w:firstLine="656"/>
        <w:spacing w:after="0" w:line="251"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JURISDICTION; JURY TRIAL</w:t>
      </w:r>
      <w:r>
        <w:rPr>
          <w:rFonts w:ascii="Times New Roman" w:cs="Times New Roman" w:eastAsia="Times New Roman" w:hAnsi="Times New Roman"/>
          <w:sz w:val="18"/>
          <w:szCs w:val="18"/>
          <w:color w:val="auto"/>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The Company hereby irrevocably waives personal service of process and consents to process being served in any such suit, action or proceeding by mailing a copy thereof to the Company at the address set forth in Section 8(i) above or such other address as the Company subsequently delivers to the Holder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 </w:t>
      </w:r>
      <w:r>
        <w:rPr>
          <w:rFonts w:ascii="Times New Roman" w:cs="Times New Roman" w:eastAsia="Times New Roman" w:hAnsi="Times New Roman"/>
          <w:sz w:val="18"/>
          <w:szCs w:val="18"/>
          <w:b w:val="1"/>
          <w:bCs w:val="1"/>
          <w:color w:val="auto"/>
        </w:rPr>
        <w:t>THE COMPANY HEREBY IRREVOCABLY</w:t>
      </w:r>
    </w:p>
    <w:p>
      <w:pPr>
        <w:spacing w:after="0" w:line="10" w:lineRule="exact"/>
        <w:rPr>
          <w:rFonts w:ascii="Times New Roman" w:cs="Times New Roman" w:eastAsia="Times New Roman" w:hAnsi="Times New Roman"/>
          <w:sz w:val="18"/>
          <w:szCs w:val="18"/>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WAIVES ANY RIGHT IT MAY HAVE, AND AGREES NOT TO REQUEST, A JURY TRIAL FOR THE ADJUDICATION OF ANY DISPUTE HEREUNDER OR IN CONNECTION WITH OR ARISING OUT OF THIS WARRANT OR ANY TRANSACTION CONTEMPLATED HEREBY.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 w:name="page21"/>
    <w:bookmarkEnd w:id="20"/>
    <w:p>
      <w:pPr>
        <w:jc w:val="both"/>
        <w:ind w:firstLine="656"/>
        <w:spacing w:after="0" w:line="253" w:lineRule="auto"/>
        <w:tabs>
          <w:tab w:leader="none" w:pos="10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In the case of a dispute as to the determination of the Exercise Price or the arithmetic calculation of the Warrant Shares or Pre-Funded Warrants, the Company shall submit the disputed determinations or arithmetic calculations via electronic mail within two (2) Business Days of receipt of the Exercise Notice or other event giving rise to such dispute, as the case may be, to the Holder. If the Holder and the Company are unable to agree upon such determination or calculation of the Exercise Price or the Warrant Shares or Pre-Funded Warrants within three (3) Business Days of such disputed determination or arithmetic calculation being submitted to the Holder, then the Company shall, within two (2) Business Days submit via electronic mail (a) the disputed determination of the Exercise Price to an independent, reputable investment bank selected by the Company and approved by the Holder or (b) the disputed arithmetic calculation of the Warrant Shares or Pre-Funded Warrants to the Company’s independent, outside accountant. The Company shall cause at its expense the investment bank or the accountant, as the case may be, to perform the determinations or calculations and notify the Company and the Holder of the results no later than ten (10) Business Days from the time it receives the disputed determinations or calculations. Such investment bank’s or accountant’s determination or calculation, as the case may be, shall be binding upon all parties absent demonstrable error.</w:t>
      </w:r>
    </w:p>
    <w:p>
      <w:pPr>
        <w:spacing w:after="0" w:line="191" w:lineRule="exact"/>
        <w:rPr>
          <w:rFonts w:ascii="Times New Roman" w:cs="Times New Roman" w:eastAsia="Times New Roman" w:hAnsi="Times New Roman"/>
          <w:sz w:val="18"/>
          <w:szCs w:val="18"/>
          <w:color w:val="auto"/>
        </w:rPr>
      </w:pPr>
    </w:p>
    <w:p>
      <w:pPr>
        <w:jc w:val="both"/>
        <w:ind w:firstLine="656"/>
        <w:spacing w:after="0" w:line="255" w:lineRule="auto"/>
        <w:tabs>
          <w:tab w:leader="none" w:pos="120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 OTHER OBLIGATIONS, BREACHES AND INJUNCTIVE RELIEF</w:t>
      </w:r>
      <w:r>
        <w:rPr>
          <w:rFonts w:ascii="Times New Roman" w:cs="Times New Roman" w:eastAsia="Times New Roman" w:hAnsi="Times New Roman"/>
          <w:sz w:val="18"/>
          <w:szCs w:val="18"/>
          <w:color w:val="auto"/>
        </w:rPr>
        <w:t>. The remedies provided in this Warrant shall be cumulative and in addition to all other remedies available under this Warrant and any other Transaction Documents, at law or in equity (including a decree of specific performance and/or other injunctive relief), and nothing herein shall limit the right of the Holder to pursue actual damages for any failure by the Company to comply with the terms of this Warrant.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of this Warrant shall be entitled, in addition to all other available remedies, to an injunction restraining any breach, without the necessity of showing economic loss and without any bond or other security being required.</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109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This Warrant and the Warrant Shares or Pre-Funded Warrants may be offered for sale, sold, transferred, pledged or assigned without the consent of the Company.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 w:name="page22"/>
    <w:bookmarkEnd w:id="21"/>
    <w:p>
      <w:pPr>
        <w:jc w:val="both"/>
        <w:ind w:firstLine="656"/>
        <w:spacing w:after="0" w:line="253" w:lineRule="auto"/>
        <w:tabs>
          <w:tab w:leader="none" w:pos="11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 CONSTRUCTION; HEADINGS</w:t>
      </w:r>
      <w:r>
        <w:rPr>
          <w:rFonts w:ascii="Times New Roman" w:cs="Times New Roman" w:eastAsia="Times New Roman" w:hAnsi="Times New Roman"/>
          <w:sz w:val="18"/>
          <w:szCs w:val="18"/>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w:t>
      </w:r>
    </w:p>
    <w:p>
      <w:pPr>
        <w:spacing w:after="0" w:line="194" w:lineRule="exact"/>
        <w:rPr>
          <w:rFonts w:ascii="Times New Roman" w:cs="Times New Roman" w:eastAsia="Times New Roman" w:hAnsi="Times New Roman"/>
          <w:sz w:val="18"/>
          <w:szCs w:val="18"/>
          <w:color w:val="auto"/>
        </w:rPr>
      </w:pPr>
    </w:p>
    <w:p>
      <w:pPr>
        <w:jc w:val="both"/>
        <w:ind w:firstLine="656"/>
        <w:spacing w:after="0" w:line="255"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Upon receipt or delivery by the Company of any notice in accordance with the terms of this Warrant, unless the Company has in good faith determined that the matters relating to such notice do not constitute material, nonpublic information relating to the Company or its subsidiaries, the Company shall contemporaneously with any such receipt or delivery publicly disclose such material, nonpublic information on a Current Report on Form 8-K or otherwise. In the event that the Company believes that a notice contains material, nonpublic information relating to the Company or its subsidiaries, the Company so shall indicate to such Holder contemporaneously with delivery of such notice, and in the absence of any such indication, the Holder shall be allowed to presume that all matters relating to such notice do not constitute material, nonpublic information relating to the Company or its subsidiaries.</w:t>
      </w:r>
    </w:p>
    <w:p>
      <w:pPr>
        <w:spacing w:after="0" w:line="188"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For purposes of this Warrant, the following terms shall have the following meanings:</w:t>
      </w:r>
    </w:p>
    <w:p>
      <w:pPr>
        <w:spacing w:after="0" w:line="221" w:lineRule="exact"/>
        <w:rPr>
          <w:rFonts w:ascii="Times New Roman" w:cs="Times New Roman" w:eastAsia="Times New Roman" w:hAnsi="Times New Roman"/>
          <w:sz w:val="18"/>
          <w:szCs w:val="18"/>
          <w:color w:val="auto"/>
        </w:rPr>
      </w:pPr>
    </w:p>
    <w:p>
      <w:pPr>
        <w:jc w:val="both"/>
        <w:ind w:firstLine="980"/>
        <w:spacing w:after="0" w:line="257" w:lineRule="auto"/>
        <w:tabs>
          <w:tab w:leader="none" w:pos="1352"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with respect to any Person, any other Person directly or indirectly controlled by, controlling or under common control with, such Person, but only for so long as such control shall continue. For purposes of this definition, “control” (including, with correlative meanings, “controlled by”, “controlling” and “under common control with”) means, with respect to a Person, possession, direct or indirect, of (i) the power to direct or cause direction of the management and policies of such Person (whether through ownership of securities or partnership or other ownership interests, by contract or otherwise), or (ii) at least 50% of the voting securities (whether directly or pursuant to any option, warrant or other similar arrangement) or other comparable equity interests.</w:t>
      </w:r>
    </w:p>
    <w:p>
      <w:pPr>
        <w:spacing w:after="0" w:line="182" w:lineRule="exact"/>
        <w:rPr>
          <w:rFonts w:ascii="Times New Roman" w:cs="Times New Roman" w:eastAsia="Times New Roman" w:hAnsi="Times New Roman"/>
          <w:sz w:val="18"/>
          <w:szCs w:val="18"/>
          <w:color w:val="auto"/>
        </w:rPr>
      </w:pPr>
    </w:p>
    <w:p>
      <w:pPr>
        <w:jc w:val="both"/>
        <w:ind w:firstLine="980"/>
        <w:spacing w:after="0" w:line="259" w:lineRule="auto"/>
        <w:tabs>
          <w:tab w:leader="none" w:pos="1389"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Attribution Parties</w:t>
      </w:r>
      <w:r>
        <w:rPr>
          <w:rFonts w:ascii="Times New Roman" w:cs="Times New Roman" w:eastAsia="Times New Roman" w:hAnsi="Times New Roman"/>
          <w:sz w:val="18"/>
          <w:szCs w:val="18"/>
          <w:color w:val="auto"/>
        </w:rPr>
        <w:t>” means, collectively, the following Persons and entities: (i) any direct or indirect Affiliates of the Holder, (ii) any Person acting or who could be deemed to be acting as a Group together with the Holder or any Attribution Parties and (iii) any other Persons whose beneficial ownership of the Common Stock would or could be aggregated with the Holder’s and/or any other Attribution Parties for purposes of Section 13(d) or Section 16 of the 1934 Act. For clarity, the purpose of the foregoing is to subject collectively the Holder and all other Attribution Parties to the Maximum Percentage.</w:t>
      </w:r>
    </w:p>
    <w:p>
      <w:pPr>
        <w:spacing w:after="0" w:line="179" w:lineRule="exact"/>
        <w:rPr>
          <w:rFonts w:ascii="Times New Roman" w:cs="Times New Roman" w:eastAsia="Times New Roman" w:hAnsi="Times New Roman"/>
          <w:sz w:val="18"/>
          <w:szCs w:val="18"/>
          <w:color w:val="auto"/>
        </w:rPr>
      </w:pPr>
    </w:p>
    <w:p>
      <w:pPr>
        <w:ind w:firstLine="980"/>
        <w:spacing w:after="0" w:line="286" w:lineRule="auto"/>
        <w:tabs>
          <w:tab w:leader="none" w:pos="1419"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any day other than Saturday, Sunday or other day on which commercial banks in The City of New York are authorized or required by law to remain closed.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 w:name="page23"/>
    <w:bookmarkEnd w:id="22"/>
    <w:p>
      <w:pPr>
        <w:jc w:val="both"/>
        <w:ind w:firstLine="980"/>
        <w:spacing w:after="0" w:line="254" w:lineRule="auto"/>
        <w:tabs>
          <w:tab w:leader="none" w:pos="141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means any Fundamental Transaction other than (i) any reorganization, recapitalization or reclassification of the Common Stock in which holders of the Company’s voting power immediately prior to such reorganization, recapitalization or reclassification continue after such reorganization, recapitalization or reclassification to hold publicly traded securities and, directly or indirectly, are, in all material respect, the holders of the voting power of the surviving entity (or entities with the authority or voting power to elect the members of the Board of Directors (or their equivalent if other than a corporation) of such entity or entities) after such reorganization, recapitalization or reclassification, (ii) pursuant to a migratory merger effected solely for the purpose of changing the jurisdiction of incorporation of the Company or (iii) a merger in connection with a bona fide acquisition by the Company of any Person in which (x) the gross consideration paid, directly or indirectly, by the Company in such acquisition is not greater than 20% of the Company’s market capitalization as calculated on the date of the consummation of such merger and (y) such merger does not contemplate a change to the identity of a majority of the Board of Directors of the Company. Notwithstanding anything herein to the contrary, any transaction or series of transaction that, directly or indirectly, results in the Company or the Successor Entity not having Common Stock or common stock, as applicable, registered under the 1934 Act and listed on an Eligible Market shall be deemed a Change of Control.</w:t>
      </w:r>
    </w:p>
    <w:p>
      <w:pPr>
        <w:spacing w:after="0" w:line="182" w:lineRule="exact"/>
        <w:rPr>
          <w:rFonts w:ascii="Times New Roman" w:cs="Times New Roman" w:eastAsia="Times New Roman" w:hAnsi="Times New Roman"/>
          <w:sz w:val="18"/>
          <w:szCs w:val="18"/>
          <w:color w:val="auto"/>
        </w:rPr>
      </w:pPr>
    </w:p>
    <w:p>
      <w:pPr>
        <w:jc w:val="both"/>
        <w:ind w:firstLine="980"/>
        <w:spacing w:after="0" w:line="254" w:lineRule="auto"/>
        <w:tabs>
          <w:tab w:leader="none" w:pos="143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Sale Price</w:t>
      </w:r>
      <w:r>
        <w:rPr>
          <w:rFonts w:ascii="Times New Roman" w:cs="Times New Roman" w:eastAsia="Times New Roman" w:hAnsi="Times New Roman"/>
          <w:sz w:val="18"/>
          <w:szCs w:val="18"/>
          <w:color w:val="auto"/>
        </w:rPr>
        <w:t>” means, for any security as of any date, the last trade price for such security on the Principal Market for such security, as reported by Bloomberg Financial Markets, or, if such Principal Market begins to operate on an extended hours basis and does not designate the last trade price, then the last trade price of such security prior to 4:00 P.M., New York City time, as reported by Bloomberg Financial Markets, or if the foregoing do not apply, the last trade price of such security in the over-the-counter market on the electronic bulletin board for such security as reported by Bloomberg Financial Markets, or if no last trade price is reported for such security by Bloomberg Financial Markets, the average of the bid and ask prices of any market makers for such security as reported in the OTC Link or “pink sheets” by OTC Markets Group Inc. as of 4:00 P.M., New York City time on such date.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the Board of Directors of the Company shall use its good faith judgment to determine the fair market value. The Board of Directors’ determination shall be binding upon all parties absent demonstrable error. All such determinations shall be appropriately adjusted for any stock dividend, stock split, stock combination or other similar transaction during the applicable calculation period.</w:t>
      </w:r>
    </w:p>
    <w:p>
      <w:pPr>
        <w:spacing w:after="0" w:line="182" w:lineRule="exact"/>
        <w:rPr>
          <w:rFonts w:ascii="Times New Roman" w:cs="Times New Roman" w:eastAsia="Times New Roman" w:hAnsi="Times New Roman"/>
          <w:sz w:val="18"/>
          <w:szCs w:val="18"/>
          <w:color w:val="auto"/>
        </w:rPr>
      </w:pPr>
    </w:p>
    <w:p>
      <w:pPr>
        <w:ind w:firstLine="980"/>
        <w:spacing w:after="0" w:line="286" w:lineRule="auto"/>
        <w:tabs>
          <w:tab w:leader="none" w:pos="141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(i) the Company’s Common Stock, par value $0.001 per share, and (ii) any capital stock into which such Common Stock shall have been changed or any capital stock resulting from a reclassification of such Common Stock.</w:t>
      </w:r>
    </w:p>
    <w:p>
      <w:pPr>
        <w:spacing w:after="0" w:line="154" w:lineRule="exact"/>
        <w:rPr>
          <w:rFonts w:ascii="Times New Roman" w:cs="Times New Roman" w:eastAsia="Times New Roman" w:hAnsi="Times New Roman"/>
          <w:sz w:val="18"/>
          <w:szCs w:val="18"/>
          <w:color w:val="auto"/>
        </w:rPr>
      </w:pPr>
    </w:p>
    <w:p>
      <w:pPr>
        <w:jc w:val="both"/>
        <w:ind w:firstLine="980"/>
        <w:spacing w:after="0" w:line="268" w:lineRule="auto"/>
        <w:tabs>
          <w:tab w:leader="none" w:pos="136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3" w:name="page24"/>
    <w:bookmarkEnd w:id="23"/>
    <w:p>
      <w:pPr>
        <w:ind w:right="20" w:firstLine="980"/>
        <w:spacing w:after="0" w:line="286" w:lineRule="auto"/>
        <w:tabs>
          <w:tab w:leader="none" w:pos="144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Convertible Securities</w:t>
      </w:r>
      <w:r>
        <w:rPr>
          <w:rFonts w:ascii="Times New Roman" w:cs="Times New Roman" w:eastAsia="Times New Roman" w:hAnsi="Times New Roman"/>
          <w:sz w:val="18"/>
          <w:szCs w:val="18"/>
          <w:color w:val="auto"/>
        </w:rPr>
        <w:t>” means any stock or securities (other than Options) directly or indirectly convertible into or exercisable or exchangeable for shares of Common Stock.</w:t>
      </w:r>
    </w:p>
    <w:p>
      <w:pPr>
        <w:spacing w:after="0" w:line="154" w:lineRule="exact"/>
        <w:rPr>
          <w:rFonts w:ascii="Times New Roman" w:cs="Times New Roman" w:eastAsia="Times New Roman" w:hAnsi="Times New Roman"/>
          <w:sz w:val="18"/>
          <w:szCs w:val="18"/>
          <w:color w:val="auto"/>
        </w:rPr>
      </w:pPr>
    </w:p>
    <w:p>
      <w:pPr>
        <w:ind w:right="20" w:firstLine="980"/>
        <w:spacing w:after="0" w:line="286" w:lineRule="auto"/>
        <w:tabs>
          <w:tab w:leader="none" w:pos="132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Eligible Market</w:t>
      </w:r>
      <w:r>
        <w:rPr>
          <w:rFonts w:ascii="Times New Roman" w:cs="Times New Roman" w:eastAsia="Times New Roman" w:hAnsi="Times New Roman"/>
          <w:sz w:val="18"/>
          <w:szCs w:val="18"/>
          <w:color w:val="auto"/>
        </w:rPr>
        <w:t>” means The Nasdaq Capital Market, the NYSE American LLC, The Nasdaq Global Select Market, The Nasdaq Global Market or The New York Stock Exchange, Inc.</w:t>
      </w:r>
    </w:p>
    <w:p>
      <w:pPr>
        <w:spacing w:after="0" w:line="154" w:lineRule="exact"/>
        <w:rPr>
          <w:rFonts w:ascii="Times New Roman" w:cs="Times New Roman" w:eastAsia="Times New Roman" w:hAnsi="Times New Roman"/>
          <w:sz w:val="18"/>
          <w:szCs w:val="18"/>
          <w:color w:val="auto"/>
        </w:rPr>
      </w:pPr>
    </w:p>
    <w:p>
      <w:pPr>
        <w:ind w:left="1320" w:hanging="340"/>
        <w:spacing w:after="0"/>
        <w:tabs>
          <w:tab w:leader="none" w:pos="1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Expiration Date</w:t>
      </w:r>
      <w:r>
        <w:rPr>
          <w:rFonts w:ascii="Times New Roman" w:cs="Times New Roman" w:eastAsia="Times New Roman" w:hAnsi="Times New Roman"/>
          <w:sz w:val="18"/>
          <w:szCs w:val="18"/>
          <w:color w:val="auto"/>
        </w:rPr>
        <w:t>” means June 18, 2031.</w:t>
      </w:r>
    </w:p>
    <w:p>
      <w:pPr>
        <w:spacing w:after="0" w:line="225" w:lineRule="exact"/>
        <w:rPr>
          <w:rFonts w:ascii="Times New Roman" w:cs="Times New Roman" w:eastAsia="Times New Roman" w:hAnsi="Times New Roman"/>
          <w:sz w:val="18"/>
          <w:szCs w:val="18"/>
          <w:color w:val="auto"/>
        </w:rPr>
      </w:pPr>
    </w:p>
    <w:p>
      <w:pPr>
        <w:jc w:val="both"/>
        <w:ind w:firstLine="980"/>
        <w:spacing w:after="0" w:line="251" w:lineRule="auto"/>
        <w:tabs>
          <w:tab w:leader="none" w:pos="145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Fundamental Transaction</w:t>
      </w:r>
      <w:r>
        <w:rPr>
          <w:rFonts w:ascii="Times New Roman" w:cs="Times New Roman" w:eastAsia="Times New Roman" w:hAnsi="Times New Roman"/>
          <w:sz w:val="18"/>
          <w:szCs w:val="18"/>
          <w:color w:val="auto"/>
        </w:rPr>
        <w:t>”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shares of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1934 Act) of at least 50% of the outstanding shares of Common Stock, or (iv) consummate a stock purchase agreement or other business combination (including, without limitation, a reorganization, recapitalization, spin-off or scheme of arrangement) with one or more Subject Entities whereby all such Subject Entities, individually or in the aggregate, acquire,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1934 Act) of at least 50% of the outstanding shares of Common Stock, or (v) reorganize, recapitalize or reclassify its shares of Common Stock,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1934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shares of Common Stock, (y) at least 50% of the aggregate ordinary voting power represented by issued and outstanding shares of Common Stock not held by all such Subject Entities as of the Subscription Date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stockholders of the Company to surrender their Common Stock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4" w:name="page25"/>
    <w:bookmarkEnd w:id="24"/>
    <w:p>
      <w:pPr>
        <w:ind w:left="1320" w:hanging="340"/>
        <w:spacing w:after="0"/>
        <w:tabs>
          <w:tab w:leader="none" w:pos="1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Group</w:t>
      </w:r>
      <w:r>
        <w:rPr>
          <w:rFonts w:ascii="Times New Roman" w:cs="Times New Roman" w:eastAsia="Times New Roman" w:hAnsi="Times New Roman"/>
          <w:sz w:val="18"/>
          <w:szCs w:val="18"/>
          <w:color w:val="auto"/>
        </w:rPr>
        <w:t>” shall have the meaning ascribed to it in Section 13(d) of the 1934 Act, and all related rules, regulations and jurisprudence.</w:t>
      </w:r>
    </w:p>
    <w:p>
      <w:pPr>
        <w:spacing w:after="0" w:line="225" w:lineRule="exact"/>
        <w:rPr>
          <w:rFonts w:ascii="Times New Roman" w:cs="Times New Roman" w:eastAsia="Times New Roman" w:hAnsi="Times New Roman"/>
          <w:sz w:val="18"/>
          <w:szCs w:val="18"/>
          <w:color w:val="auto"/>
        </w:rPr>
      </w:pPr>
    </w:p>
    <w:p>
      <w:pPr>
        <w:ind w:left="1420" w:hanging="440"/>
        <w:spacing w:after="0"/>
        <w:tabs>
          <w:tab w:leader="none" w:pos="1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Options</w:t>
      </w:r>
      <w:r>
        <w:rPr>
          <w:rFonts w:ascii="Times New Roman" w:cs="Times New Roman" w:eastAsia="Times New Roman" w:hAnsi="Times New Roman"/>
          <w:sz w:val="18"/>
          <w:szCs w:val="18"/>
          <w:color w:val="auto"/>
        </w:rPr>
        <w:t>” means any rights, warrants or options to subscribe for or purchase shares of Common Stock or Convertible Securities.</w:t>
      </w:r>
    </w:p>
    <w:p>
      <w:pPr>
        <w:spacing w:after="0" w:line="225" w:lineRule="exact"/>
        <w:rPr>
          <w:rFonts w:ascii="Times New Roman" w:cs="Times New Roman" w:eastAsia="Times New Roman" w:hAnsi="Times New Roman"/>
          <w:sz w:val="18"/>
          <w:szCs w:val="18"/>
          <w:color w:val="auto"/>
        </w:rPr>
      </w:pPr>
    </w:p>
    <w:p>
      <w:pPr>
        <w:jc w:val="both"/>
        <w:ind w:firstLine="980"/>
        <w:spacing w:after="0" w:line="259" w:lineRule="auto"/>
        <w:tabs>
          <w:tab w:leader="none" w:pos="142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Parent Entity</w:t>
      </w:r>
      <w:r>
        <w:rPr>
          <w:rFonts w:ascii="Times New Roman" w:cs="Times New Roman" w:eastAsia="Times New Roman" w:hAnsi="Times New Roman"/>
          <w:sz w:val="18"/>
          <w:szCs w:val="18"/>
          <w:color w:val="auto"/>
        </w:rPr>
        <w:t>” of a Person means an entity that, directly or indirectly, controls the applicable Person, including such entity whose common stock or equivalent equity security is quoted or listed on an Eligible Market (or, if so elected by the Holder, any other market, exchange or quotation system), or, if there is more than one such Person or such entity, the Person or such entity designated by the Holder or in the absence of such designation, such Person or entity with the largest public market capitalization as of the date of consummation of the Fundamental Transaction or Change of Control.</w:t>
      </w:r>
    </w:p>
    <w:p>
      <w:pPr>
        <w:spacing w:after="0" w:line="179" w:lineRule="exact"/>
        <w:rPr>
          <w:rFonts w:ascii="Times New Roman" w:cs="Times New Roman" w:eastAsia="Times New Roman" w:hAnsi="Times New Roman"/>
          <w:sz w:val="18"/>
          <w:szCs w:val="18"/>
          <w:color w:val="auto"/>
        </w:rPr>
      </w:pPr>
    </w:p>
    <w:p>
      <w:pPr>
        <w:ind w:firstLine="980"/>
        <w:spacing w:after="0" w:line="286" w:lineRule="auto"/>
        <w:tabs>
          <w:tab w:leader="none" w:pos="145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 individual, a limited liability company, a partnership, a joint venture, a corporation, a trust, an unincorporated organization, any other entity and a government or any department or agency thereof.</w:t>
      </w:r>
    </w:p>
    <w:p>
      <w:pPr>
        <w:spacing w:after="0" w:line="154" w:lineRule="exact"/>
        <w:rPr>
          <w:rFonts w:ascii="Times New Roman" w:cs="Times New Roman" w:eastAsia="Times New Roman" w:hAnsi="Times New Roman"/>
          <w:sz w:val="18"/>
          <w:szCs w:val="18"/>
          <w:color w:val="auto"/>
        </w:rPr>
      </w:pPr>
    </w:p>
    <w:p>
      <w:pPr>
        <w:ind w:right="20" w:firstLine="980"/>
        <w:spacing w:after="0" w:line="286" w:lineRule="auto"/>
        <w:tabs>
          <w:tab w:leader="none" w:pos="138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Principal Market</w:t>
      </w:r>
      <w:r>
        <w:rPr>
          <w:rFonts w:ascii="Times New Roman" w:cs="Times New Roman" w:eastAsia="Times New Roman" w:hAnsi="Times New Roman"/>
          <w:sz w:val="18"/>
          <w:szCs w:val="18"/>
          <w:color w:val="auto"/>
        </w:rPr>
        <w:t>” means the national securities exchange or other trading market on which the Common Stock is primarily listed on and quoted for trading, which, as of the Issuance Date, is The Nasdaq Capital Market.</w:t>
      </w:r>
    </w:p>
    <w:p>
      <w:pPr>
        <w:spacing w:after="0" w:line="154" w:lineRule="exact"/>
        <w:rPr>
          <w:rFonts w:ascii="Times New Roman" w:cs="Times New Roman" w:eastAsia="Times New Roman" w:hAnsi="Times New Roman"/>
          <w:sz w:val="18"/>
          <w:szCs w:val="18"/>
          <w:color w:val="auto"/>
        </w:rPr>
      </w:pPr>
    </w:p>
    <w:p>
      <w:pPr>
        <w:ind w:firstLine="980"/>
        <w:spacing w:after="0" w:line="286" w:lineRule="auto"/>
        <w:tabs>
          <w:tab w:leader="none" w:pos="13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Required Holders</w:t>
      </w:r>
      <w:r>
        <w:rPr>
          <w:rFonts w:ascii="Times New Roman" w:cs="Times New Roman" w:eastAsia="Times New Roman" w:hAnsi="Times New Roman"/>
          <w:sz w:val="18"/>
          <w:szCs w:val="18"/>
          <w:color w:val="auto"/>
        </w:rPr>
        <w:t>” means the holders of this Warrant and the Other Warrants representing at least a majority of the shares of Common Stock underlying this Warrant and the Other Warrants then outstanding.</w:t>
      </w:r>
    </w:p>
    <w:p>
      <w:pPr>
        <w:spacing w:after="0" w:line="154" w:lineRule="exact"/>
        <w:rPr>
          <w:rFonts w:ascii="Times New Roman" w:cs="Times New Roman" w:eastAsia="Times New Roman" w:hAnsi="Times New Roman"/>
          <w:sz w:val="18"/>
          <w:szCs w:val="18"/>
          <w:color w:val="auto"/>
        </w:rPr>
      </w:pPr>
    </w:p>
    <w:p>
      <w:pPr>
        <w:ind w:firstLine="980"/>
        <w:spacing w:after="0" w:line="286" w:lineRule="auto"/>
        <w:tabs>
          <w:tab w:leader="none" w:pos="137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for the Principal Market with respect to the Common Stock that is in effect on the date of delivery of an applicable Exercise Notice.</w:t>
      </w:r>
    </w:p>
    <w:p>
      <w:pPr>
        <w:spacing w:after="0" w:line="154" w:lineRule="exact"/>
        <w:rPr>
          <w:rFonts w:ascii="Times New Roman" w:cs="Times New Roman" w:eastAsia="Times New Roman" w:hAnsi="Times New Roman"/>
          <w:sz w:val="18"/>
          <w:szCs w:val="18"/>
          <w:color w:val="auto"/>
        </w:rPr>
      </w:pPr>
    </w:p>
    <w:p>
      <w:pPr>
        <w:ind w:left="1340" w:hanging="360"/>
        <w:spacing w:after="0"/>
        <w:tabs>
          <w:tab w:leader="none" w:pos="1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Subject Entity</w:t>
      </w:r>
      <w:r>
        <w:rPr>
          <w:rFonts w:ascii="Times New Roman" w:cs="Times New Roman" w:eastAsia="Times New Roman" w:hAnsi="Times New Roman"/>
          <w:sz w:val="18"/>
          <w:szCs w:val="18"/>
          <w:color w:val="auto"/>
        </w:rPr>
        <w:t>” means any Person, Persons or Group or any Affiliate or associate of any such Person, Persons or Group.</w:t>
      </w:r>
    </w:p>
    <w:p>
      <w:pPr>
        <w:spacing w:after="0" w:line="225" w:lineRule="exact"/>
        <w:rPr>
          <w:rFonts w:ascii="Times New Roman" w:cs="Times New Roman" w:eastAsia="Times New Roman" w:hAnsi="Times New Roman"/>
          <w:sz w:val="18"/>
          <w:szCs w:val="18"/>
          <w:color w:val="auto"/>
        </w:rPr>
      </w:pPr>
    </w:p>
    <w:p>
      <w:pPr>
        <w:jc w:val="both"/>
        <w:ind w:firstLine="980"/>
        <w:spacing w:after="0" w:line="268" w:lineRule="auto"/>
        <w:tabs>
          <w:tab w:leader="none" w:pos="137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Successor Entity</w:t>
      </w:r>
      <w:r>
        <w:rPr>
          <w:rFonts w:ascii="Times New Roman" w:cs="Times New Roman" w:eastAsia="Times New Roman" w:hAnsi="Times New Roman"/>
          <w:sz w:val="18"/>
          <w:szCs w:val="18"/>
          <w:color w:val="auto"/>
        </w:rPr>
        <w:t>” means one or more Person or Persons (or, if so elected by the Holder, the Company or Parent Entity) formed by, resulting from or surviving any Fundamental Transaction or Change of Control or one or more Person or Persons (or, if so elected by the Holder, the Company or the Parent Entity) with which such Fundamental Transaction or Change of Control shall have been entered into.</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5" w:name="page26"/>
    <w:bookmarkEnd w:id="25"/>
    <w:p>
      <w:pPr>
        <w:ind w:left="1340" w:hanging="380"/>
        <w:spacing w:after="0"/>
        <w:tabs>
          <w:tab w:leader="none" w:pos="1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means any weekday on which the Principal Market is normally open for trading.</w:t>
      </w:r>
    </w:p>
    <w:p>
      <w:pPr>
        <w:spacing w:after="0" w:line="225" w:lineRule="exact"/>
        <w:rPr>
          <w:rFonts w:ascii="Times New Roman" w:cs="Times New Roman" w:eastAsia="Times New Roman" w:hAnsi="Times New Roman"/>
          <w:sz w:val="18"/>
          <w:szCs w:val="18"/>
          <w:color w:val="auto"/>
        </w:rPr>
      </w:pPr>
    </w:p>
    <w:p>
      <w:pPr>
        <w:jc w:val="both"/>
        <w:ind w:left="-20" w:firstLine="980"/>
        <w:spacing w:after="0" w:line="268" w:lineRule="auto"/>
        <w:tabs>
          <w:tab w:leader="none" w:pos="139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Transaction Documents</w:t>
      </w:r>
      <w:r>
        <w:rPr>
          <w:rFonts w:ascii="Times New Roman" w:cs="Times New Roman" w:eastAsia="Times New Roman" w:hAnsi="Times New Roman"/>
          <w:sz w:val="18"/>
          <w:szCs w:val="18"/>
          <w:color w:val="auto"/>
        </w:rPr>
        <w:t>” means this Warrant, that certain Securities Purchase Agreement, dated June 18, 2026, by and between the Company and the purchasers set forth therein, and any agreement entered into by and between the Company and the Holder, as applicable, in connection with such agreements.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 Follows]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576" w:right="339" w:bottom="1440" w:gutter="0" w:footer="0" w:header="0"/>
        </w:sectPr>
      </w:pPr>
    </w:p>
    <w:bookmarkStart w:id="26" w:name="page27"/>
    <w:bookmarkEnd w:id="26"/>
    <w:p>
      <w:pPr>
        <w:ind w:left="660"/>
        <w:spacing w:after="0"/>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the Company has caused this Warrant to Purchase Common Stock to be duly executed as of the Issuance Date set out</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w:t>
      </w:r>
    </w:p>
    <w:p>
      <w:pPr>
        <w:spacing w:after="0" w:line="200" w:lineRule="exact"/>
        <w:rPr>
          <w:sz w:val="20"/>
          <w:szCs w:val="20"/>
          <w:color w:val="auto"/>
        </w:rPr>
      </w:pPr>
    </w:p>
    <w:p>
      <w:pPr>
        <w:spacing w:after="0" w:line="21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b w:val="1"/>
          <w:bCs w:val="1"/>
          <w:color w:val="auto"/>
        </w:rPr>
        <w:t>CERVOMED INC.</w:t>
      </w:r>
    </w:p>
    <w:p>
      <w:pPr>
        <w:spacing w:after="0" w:line="200" w:lineRule="exact"/>
        <w:rPr>
          <w:sz w:val="20"/>
          <w:szCs w:val="20"/>
          <w:color w:val="auto"/>
        </w:rPr>
      </w:pPr>
    </w:p>
    <w:p>
      <w:pPr>
        <w:spacing w:after="0" w:line="24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24688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EXERCISE NOTICE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EXECUTED BY THE REGISTERED HOLDER TO EXERCISE THIS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PLACEMENT AGENT WARRANT TO PURCHASE COMMON STOCK</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CERVOMED INC.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holder hereby exercises the right to purchase _________________ shares of Common Stock (“</w:t>
      </w:r>
      <w:r>
        <w:rPr>
          <w:rFonts w:ascii="Times New Roman" w:cs="Times New Roman" w:eastAsia="Times New Roman" w:hAnsi="Times New Roman"/>
          <w:sz w:val="18"/>
          <w:szCs w:val="18"/>
          <w:b w:val="1"/>
          <w:bCs w:val="1"/>
          <w:i w:val="1"/>
          <w:iCs w:val="1"/>
          <w:color w:val="auto"/>
        </w:rPr>
        <w:t>Warrant Shares</w:t>
      </w:r>
      <w:r>
        <w:rPr>
          <w:rFonts w:ascii="Times New Roman" w:cs="Times New Roman" w:eastAsia="Times New Roman" w:hAnsi="Times New Roman"/>
          <w:sz w:val="18"/>
          <w:szCs w:val="18"/>
          <w:color w:val="auto"/>
        </w:rPr>
        <w:t>”) and/or pre-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funded warrants to purchase ________________ shares of Common Stock at a purchase price of $0.001 (the “</w:t>
      </w:r>
      <w:r>
        <w:rPr>
          <w:rFonts w:ascii="Times New Roman" w:cs="Times New Roman" w:eastAsia="Times New Roman" w:hAnsi="Times New Roman"/>
          <w:sz w:val="18"/>
          <w:szCs w:val="18"/>
          <w:b w:val="1"/>
          <w:bCs w:val="1"/>
          <w:i w:val="1"/>
          <w:iCs w:val="1"/>
          <w:color w:val="auto"/>
        </w:rPr>
        <w:t>Pre-Funded Warrants</w:t>
      </w:r>
      <w:r>
        <w:rPr>
          <w:rFonts w:ascii="Times New Roman" w:cs="Times New Roman" w:eastAsia="Times New Roman" w:hAnsi="Times New Roman"/>
          <w:sz w:val="18"/>
          <w:szCs w:val="18"/>
          <w:color w:val="auto"/>
        </w:rPr>
        <w:t>”) of CervoMed Inc., a</w:t>
      </w:r>
    </w:p>
    <w:p>
      <w:pPr>
        <w:spacing w:after="0" w:line="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company organized under the laws of Delaware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evidenced by the attached Placement Agent Warrant to Purchase Common Stock (the “</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Capitalized terms used herein and not otherwise defined shall have the respective meanings set forth in the Warrant.</w:t>
      </w:r>
    </w:p>
    <w:p>
      <w:pPr>
        <w:spacing w:after="0" w:line="181" w:lineRule="exact"/>
        <w:rPr>
          <w:sz w:val="20"/>
          <w:szCs w:val="20"/>
          <w:color w:val="auto"/>
        </w:rPr>
      </w:pPr>
    </w:p>
    <w:p>
      <w:pPr>
        <w:ind w:left="840" w:hanging="184"/>
        <w:spacing w:after="0"/>
        <w:tabs>
          <w:tab w:leader="none" w:pos="8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Exercise Price. The Holder intends that payment of the Exercise Price shall be made with respect to _________________ Warrant Shares and/or</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_______________ Pre-Funded Warrants.</w:t>
      </w:r>
    </w:p>
    <w:p>
      <w:pPr>
        <w:spacing w:after="0" w:line="206" w:lineRule="exact"/>
        <w:rPr>
          <w:rFonts w:ascii="Times New Roman" w:cs="Times New Roman" w:eastAsia="Times New Roman" w:hAnsi="Times New Roman"/>
          <w:sz w:val="17"/>
          <w:szCs w:val="17"/>
          <w:color w:val="auto"/>
        </w:rPr>
      </w:pPr>
    </w:p>
    <w:p>
      <w:pPr>
        <w:ind w:firstLine="656"/>
        <w:spacing w:after="0" w:line="282" w:lineRule="auto"/>
        <w:tabs>
          <w:tab w:leader="none" w:pos="85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Exercise Price. The Holder shall pay the Aggregate Exercise Price in the sum of $___________________ to the Company in accordance with the terms of the Warrant and/or, in lieu of cash payment, a “Cashless Exercise” with respect to __________ Warrant Shares.</w:t>
      </w:r>
    </w:p>
    <w:p>
      <w:pPr>
        <w:spacing w:after="0" w:line="161" w:lineRule="exact"/>
        <w:rPr>
          <w:rFonts w:ascii="Times New Roman" w:cs="Times New Roman" w:eastAsia="Times New Roman" w:hAnsi="Times New Roman"/>
          <w:sz w:val="18"/>
          <w:szCs w:val="18"/>
          <w:color w:val="auto"/>
        </w:rPr>
      </w:pPr>
    </w:p>
    <w:p>
      <w:pPr>
        <w:ind w:left="860" w:hanging="204"/>
        <w:spacing w:after="0"/>
        <w:tabs>
          <w:tab w:leader="none" w:pos="8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Warrant Shares and/or Pre-Funded Warrants. The Company shall deliver to the holder _______________ Warrant Shares and/or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 Pre-Funded Warrants in accordance with the terms of the Warrant.</w:t>
      </w:r>
    </w:p>
    <w:p>
      <w:pPr>
        <w:spacing w:after="0" w:line="20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Date:</w:t>
        <w:tab/>
        <w:t>_______________ __, ______</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Name of Registered Holder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427355</wp:posOffset>
            </wp:positionH>
            <wp:positionV relativeFrom="paragraph">
              <wp:posOffset>-7620</wp:posOffset>
            </wp:positionV>
            <wp:extent cx="139954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99540" cy="8255"/>
                    </a:xfrm>
                    <a:prstGeom prst="rect">
                      <a:avLst/>
                    </a:prstGeom>
                    <a:noFill/>
                  </pic:spPr>
                </pic:pic>
              </a:graphicData>
            </a:graphic>
          </wp:anchor>
        </w:drawing>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8" w:name="page29"/>
    <w:bookmarkEnd w:id="28"/>
    <w:p>
      <w:pPr>
        <w:ind w:left="10300"/>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THE SECURITIES EVIDENCED BY THIS CERTIFICATE HAVE NOT BEEN REGISTERED UNDER THE SECURITIES ACT OF 1933, AS AMENDED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OR ANY OTHER APPLICABLE SECURITIES LAWS AND HAVE BEEN ISSUED IN RELIANCE</w:t>
      </w:r>
    </w:p>
    <w:p>
      <w:pPr>
        <w:spacing w:after="0" w:line="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UPON AN EXEMPTION FROM THE REGISTRATION REQUIREMENTS OF THE SECURITIES ACT AND SUCH OTHER SECURITIES LAWS. NEITHER THIS SECURITY NOR ANY INTEREST OR PARTICIPATION HEREIN MAY BE REOFFERED, SOLD, ASSIGNED, TRANSFERRED, PLEDGED, ENCUMBERED, HYPOTHECATED OR OTHERWISE DISPOSED OF, EXCEPT PURSUANT TO AN EFFECTIVE REGISTRATION STATEMENT UNDER THE SECURITIES ACT OR PURSUANT TO A TRANSACTION WHICH IS EXEMPT FROM, OR NOT SUBJECT TO, SUCH REGISTRATION, IN EACH CASE IN ACCORDANCE WITH ALL APPLICABLE SECURITIES LAWS.</w:t>
      </w:r>
    </w:p>
    <w:p>
      <w:pPr>
        <w:spacing w:after="0" w:line="1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 OF PRE-FUNDED WARRANT TO PURCHASE 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CERVOMED INC.</w:t>
      </w:r>
    </w:p>
    <w:p>
      <w:pPr>
        <w:spacing w:after="0" w:line="229"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8"/>
          <w:szCs w:val="18"/>
          <w:color w:val="auto"/>
        </w:rPr>
        <w:t>Number of Shares: [ • ]</w:t>
      </w:r>
    </w:p>
    <w:p>
      <w:pPr>
        <w:spacing w:after="0" w:line="27" w:lineRule="exact"/>
        <w:rPr>
          <w:sz w:val="20"/>
          <w:szCs w:val="20"/>
          <w:color w:val="auto"/>
        </w:rPr>
      </w:pPr>
    </w:p>
    <w:p>
      <w:pPr>
        <w:ind w:left="9600"/>
        <w:spacing w:after="0"/>
        <w:rPr>
          <w:sz w:val="20"/>
          <w:szCs w:val="20"/>
          <w:color w:val="auto"/>
        </w:rPr>
      </w:pPr>
      <w:r>
        <w:rPr>
          <w:rFonts w:ascii="Times New Roman" w:cs="Times New Roman" w:eastAsia="Times New Roman" w:hAnsi="Times New Roman"/>
          <w:sz w:val="17"/>
          <w:szCs w:val="17"/>
          <w:color w:val="auto"/>
        </w:rPr>
        <w:t>(subject to adjustment)</w:t>
      </w:r>
    </w:p>
    <w:p>
      <w:pPr>
        <w:spacing w:after="0" w:line="218" w:lineRule="exact"/>
        <w:rPr>
          <w:sz w:val="20"/>
          <w:szCs w:val="20"/>
          <w:color w:val="auto"/>
        </w:rPr>
      </w:pPr>
    </w:p>
    <w:p>
      <w:pPr>
        <w:spacing w:after="0"/>
        <w:tabs>
          <w:tab w:leader="none" w:pos="9000" w:val="left"/>
        </w:tabs>
        <w:rPr>
          <w:sz w:val="20"/>
          <w:szCs w:val="20"/>
          <w:color w:val="auto"/>
        </w:rPr>
      </w:pPr>
      <w:r>
        <w:rPr>
          <w:rFonts w:ascii="Times New Roman" w:cs="Times New Roman" w:eastAsia="Times New Roman" w:hAnsi="Times New Roman"/>
          <w:sz w:val="18"/>
          <w:szCs w:val="18"/>
          <w:color w:val="auto"/>
        </w:rPr>
        <w:t>Warrant No. [ • ]</w:t>
      </w:r>
      <w:r>
        <w:rPr>
          <w:sz w:val="20"/>
          <w:szCs w:val="20"/>
          <w:color w:val="auto"/>
        </w:rPr>
        <w:tab/>
      </w:r>
      <w:r>
        <w:rPr>
          <w:rFonts w:ascii="Times New Roman" w:cs="Times New Roman" w:eastAsia="Times New Roman" w:hAnsi="Times New Roman"/>
          <w:sz w:val="18"/>
          <w:szCs w:val="18"/>
          <w:color w:val="auto"/>
        </w:rPr>
        <w:t>Original Issue Date: [ • ], 202_</w:t>
      </w:r>
    </w:p>
    <w:p>
      <w:pPr>
        <w:spacing w:after="0" w:line="2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CervoMed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hereby certifies that, for good and valuable consideration, the receipt and sufficiency of which are hereby acknowledged, [ • ] or its registered assigns (the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is entitled, subject to the terms set forth below, to purchase from the Company up to a total of [ • ] shares of common stock, $0.001 par value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of the Company (each such share, a “</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Share</w:t>
      </w:r>
      <w:r>
        <w:rPr>
          <w:rFonts w:ascii="Times New Roman" w:cs="Times New Roman" w:eastAsia="Times New Roman" w:hAnsi="Times New Roman"/>
          <w:sz w:val="18"/>
          <w:szCs w:val="18"/>
          <w:color w:val="auto"/>
        </w:rPr>
        <w:t>” and all such shares, the “</w:t>
      </w:r>
      <w:r>
        <w:rPr>
          <w:rFonts w:ascii="Times New Roman" w:cs="Times New Roman" w:eastAsia="Times New Roman" w:hAnsi="Times New Roman"/>
          <w:sz w:val="18"/>
          <w:szCs w:val="18"/>
          <w:b w:val="1"/>
          <w:bCs w:val="1"/>
          <w:i w:val="1"/>
          <w:iCs w:val="1"/>
          <w:color w:val="auto"/>
        </w:rPr>
        <w:t>Warrant Shares</w:t>
      </w:r>
      <w:r>
        <w:rPr>
          <w:rFonts w:ascii="Times New Roman" w:cs="Times New Roman" w:eastAsia="Times New Roman" w:hAnsi="Times New Roman"/>
          <w:sz w:val="18"/>
          <w:szCs w:val="18"/>
          <w:color w:val="auto"/>
        </w:rPr>
        <w:t>”) at an exercise price per share equal to $0.001 per share (as adjusted from time to time as provided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herein, the “</w:t>
      </w:r>
      <w:r>
        <w:rPr>
          <w:rFonts w:ascii="Times New Roman" w:cs="Times New Roman" w:eastAsia="Times New Roman" w:hAnsi="Times New Roman"/>
          <w:sz w:val="18"/>
          <w:szCs w:val="18"/>
          <w:b w:val="1"/>
          <w:bCs w:val="1"/>
          <w:i w:val="1"/>
          <w:iCs w:val="1"/>
          <w:color w:val="auto"/>
        </w:rPr>
        <w:t>Exercise Price</w:t>
      </w:r>
      <w:r>
        <w:rPr>
          <w:rFonts w:ascii="Times New Roman" w:cs="Times New Roman" w:eastAsia="Times New Roman" w:hAnsi="Times New Roman"/>
          <w:sz w:val="18"/>
          <w:szCs w:val="18"/>
          <w:color w:val="auto"/>
        </w:rPr>
        <w:t>”), upon surrender of this Pre-Funded Warrant to Purchase Common Stock (including any Pre-Funded Warrants to Purchase Common Stock issued in exchange, transfer or replacement hereof, the “</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at any time and from time to time on or after the date hereof (the “</w:t>
      </w:r>
      <w:r>
        <w:rPr>
          <w:rFonts w:ascii="Times New Roman" w:cs="Times New Roman" w:eastAsia="Times New Roman" w:hAnsi="Times New Roman"/>
          <w:sz w:val="18"/>
          <w:szCs w:val="18"/>
          <w:b w:val="1"/>
          <w:bCs w:val="1"/>
          <w:i w:val="1"/>
          <w:iCs w:val="1"/>
          <w:color w:val="auto"/>
        </w:rPr>
        <w:t>Original Issue Date</w:t>
      </w:r>
      <w:r>
        <w:rPr>
          <w:rFonts w:ascii="Times New Roman" w:cs="Times New Roman" w:eastAsia="Times New Roman" w:hAnsi="Times New Roman"/>
          <w:sz w:val="18"/>
          <w:szCs w:val="18"/>
          <w:color w:val="auto"/>
        </w:rPr>
        <w:t>”), subject to the following terms and conditions:</w:t>
      </w:r>
    </w:p>
    <w:p>
      <w:pPr>
        <w:spacing w:after="0" w:line="183" w:lineRule="exact"/>
        <w:rPr>
          <w:sz w:val="20"/>
          <w:szCs w:val="20"/>
          <w:color w:val="auto"/>
        </w:rPr>
      </w:pPr>
    </w:p>
    <w:p>
      <w:pPr>
        <w:ind w:left="1020" w:hanging="364"/>
        <w:spacing w:after="0"/>
        <w:tabs>
          <w:tab w:leader="none" w:pos="10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For purposes of this Warrant, the following terms shall have the following meanings:</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with respect to any Person, any other Person directly or indirectly controlled by, controlling or under common control with, such Person, but only for so long as such control shall continue. For purposes of this definition, “control” (including, with correlative meanings, “controlled by”, “controlling” and “under common control with”) means, with respect to a Person, possession, direct or indirect, of (i) the power to direct or cause direction of the management and policies of such Person (whether through ownership of securities or partnership or other ownership interests, by contract or otherwise), or (ii) at least 50% of the voting securities (whether directly or pursuant to any option, warrant or other similar arrangement) or other comparable equity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9" w:name="page30"/>
    <w:bookmarkEnd w:id="29"/>
    <w:p>
      <w:pPr>
        <w:ind w:left="10300"/>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Attribution Parties</w:t>
      </w:r>
      <w:r>
        <w:rPr>
          <w:rFonts w:ascii="Times New Roman" w:cs="Times New Roman" w:eastAsia="Times New Roman" w:hAnsi="Times New Roman"/>
          <w:sz w:val="18"/>
          <w:szCs w:val="18"/>
          <w:color w:val="auto"/>
        </w:rPr>
        <w:t>” means, collectively, the following Persons and entities: (i) any direct or indirect Affiliates of the Holder, (ii) any Person acting or who could be deemed to be acting as a Group together with the Holder or any Attribution Parties and (iii) any other Persons whose beneficial ownership of the Common Stock would or could be aggregated with the Holder’s and/or any other Attribution Parties for purposes of Section 13(d) or Section 16 of the Exchange Act. For clarity, the purpose of the foregoing is to subject collectively the Holder and all other Attribution Parties to the Maximum Percentage.</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Sale Price</w:t>
      </w:r>
      <w:r>
        <w:rPr>
          <w:rFonts w:ascii="Times New Roman" w:cs="Times New Roman" w:eastAsia="Times New Roman" w:hAnsi="Times New Roman"/>
          <w:sz w:val="18"/>
          <w:szCs w:val="18"/>
          <w:color w:val="auto"/>
        </w:rPr>
        <w:t>” means, for any security as of any date, the last trade price for such security on the Principal Trading Market for such security, as reported by Bloomberg Financial Markets, or, if such Principal Trading Market begins to operate on an extended hours basis and does not designate the last trade price, then the last trade price of such security prior to 4:00 P.M., New York City time, as reported by Bloomberg Financial Markets, or if the foregoing do not apply, the last trade price of such security in the over-the-counter market on the electronic bulletin board for such security as reported by Bloomberg Financial Markets, or if no last trade price is reported for such security by Bloomberg Financial Markets, the average of the bid and ask prices of any market makers for such security as reported by OTC Markets Group Inc. as of 4:00 P.M., New York City time on such date.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the Board of Directors of the Company shall use its good faith judgment to determine the fair market value. The Board of Directors’ determination shall be binding upon all parties absent demonstrable error. All such determinations shall be appropriately adjusted for any stock dividend, stock split, stock combination or other similar transaction during the applicable calculation period.</w:t>
      </w:r>
    </w:p>
    <w:p>
      <w:pPr>
        <w:spacing w:after="0" w:line="8" w:lineRule="exact"/>
        <w:rPr>
          <w:sz w:val="20"/>
          <w:szCs w:val="20"/>
          <w:color w:val="auto"/>
        </w:rPr>
      </w:pPr>
    </w:p>
    <w:p>
      <w:pPr>
        <w:ind w:left="660" w:right="2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means the United States Securities and Exchange Commission.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Group</w:t>
      </w:r>
      <w:r>
        <w:rPr>
          <w:rFonts w:ascii="Times New Roman" w:cs="Times New Roman" w:eastAsia="Times New Roman" w:hAnsi="Times New Roman"/>
          <w:sz w:val="18"/>
          <w:szCs w:val="18"/>
          <w:color w:val="auto"/>
        </w:rPr>
        <w:t>” shall have the meaning ascribed to it in Section 13(d) of the Exchange Act, and all related rules, regulations and jurisprudence.</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 individual, a limited liability company, a partnership, a joint venture, a corporation, a trust, an unincorporated organization, any other entity and a government or any department or agency thereof.</w:t>
      </w:r>
    </w:p>
    <w:p>
      <w:pPr>
        <w:spacing w:after="0" w:line="15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Principal Trading Market</w:t>
      </w:r>
      <w:r>
        <w:rPr>
          <w:rFonts w:ascii="Times New Roman" w:cs="Times New Roman" w:eastAsia="Times New Roman" w:hAnsi="Times New Roman"/>
          <w:sz w:val="18"/>
          <w:szCs w:val="18"/>
          <w:color w:val="auto"/>
        </w:rPr>
        <w:t>” means the national securities exchange or other trading market on which the Common Stock is primarily listed on and quoted for trading, which, as of the Original Issue Date, shall be The Nasdaq Capital Market.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0" w:name="page31"/>
    <w:bookmarkEnd w:id="30"/>
    <w:p>
      <w:pPr>
        <w:ind w:left="10300"/>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for the Principal Trading Market with respect to the Common Stock that is in effect on the date of delivery of an applicable Exercise Notice.”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means any weekday on which the Principal Trading Market is normally open for trading.</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Transfer Agent</w:t>
      </w:r>
      <w:r>
        <w:rPr>
          <w:rFonts w:ascii="Times New Roman" w:cs="Times New Roman" w:eastAsia="Times New Roman" w:hAnsi="Times New Roman"/>
          <w:sz w:val="18"/>
          <w:szCs w:val="18"/>
          <w:color w:val="auto"/>
        </w:rPr>
        <w:t>” means Computershare Trust Company, N.A., the Company’s transfer agent and registrar for the Common Stock, and any successor appointed in such capacity.</w:t>
      </w:r>
    </w:p>
    <w:p>
      <w:pPr>
        <w:spacing w:after="0" w:line="155" w:lineRule="exact"/>
        <w:rPr>
          <w:sz w:val="20"/>
          <w:szCs w:val="20"/>
          <w:color w:val="auto"/>
        </w:rPr>
      </w:pPr>
    </w:p>
    <w:p>
      <w:pPr>
        <w:jc w:val="both"/>
        <w:ind w:firstLine="656"/>
        <w:spacing w:after="0" w:line="259" w:lineRule="auto"/>
        <w:tabs>
          <w:tab w:leader="none" w:pos="976"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Issuance of Securities; Registration of Warrants</w:t>
      </w:r>
      <w:r>
        <w:rPr>
          <w:rFonts w:ascii="Times New Roman" w:cs="Times New Roman" w:eastAsia="Times New Roman" w:hAnsi="Times New Roman"/>
          <w:sz w:val="18"/>
          <w:szCs w:val="18"/>
          <w:color w:val="auto"/>
        </w:rPr>
        <w:t>. The Company shall register ownership of this Warrant, upon records to be maintained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for that purpose (the “</w:t>
      </w:r>
      <w:r>
        <w:rPr>
          <w:rFonts w:ascii="Times New Roman" w:cs="Times New Roman" w:eastAsia="Times New Roman" w:hAnsi="Times New Roman"/>
          <w:sz w:val="18"/>
          <w:szCs w:val="18"/>
          <w:b w:val="1"/>
          <w:bCs w:val="1"/>
          <w:i w:val="1"/>
          <w:iCs w:val="1"/>
          <w:color w:val="auto"/>
        </w:rPr>
        <w:t>Warrant Register</w:t>
      </w:r>
      <w:r>
        <w:rPr>
          <w:rFonts w:ascii="Times New Roman" w:cs="Times New Roman" w:eastAsia="Times New Roman" w:hAnsi="Times New Roman"/>
          <w:sz w:val="18"/>
          <w:szCs w:val="18"/>
          <w:color w:val="auto"/>
        </w:rPr>
        <w:t>”), in the name of the record Holder (which shall include the initial Holder or, as the case may be, any assignee to which this Warrant is permissibly assigned hereunder)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79" w:lineRule="exact"/>
        <w:rPr>
          <w:rFonts w:ascii="Times New Roman" w:cs="Times New Roman" w:eastAsia="Times New Roman" w:hAnsi="Times New Roman"/>
          <w:sz w:val="18"/>
          <w:szCs w:val="18"/>
          <w:b w:val="1"/>
          <w:bCs w:val="1"/>
          <w:color w:val="auto"/>
        </w:rPr>
      </w:pPr>
    </w:p>
    <w:p>
      <w:pPr>
        <w:jc w:val="both"/>
        <w:ind w:firstLine="656"/>
        <w:spacing w:after="0" w:line="254" w:lineRule="auto"/>
        <w:tabs>
          <w:tab w:leader="none" w:pos="1021"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Registration of Transfers</w:t>
      </w:r>
      <w:r>
        <w:rPr>
          <w:rFonts w:ascii="Times New Roman" w:cs="Times New Roman" w:eastAsia="Times New Roman" w:hAnsi="Times New Roman"/>
          <w:sz w:val="18"/>
          <w:szCs w:val="18"/>
          <w:color w:val="auto"/>
        </w:rPr>
        <w:t>. Subject to compliance with all applicable securities laws, the Company shall, or will cause its Transfer Agent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 the transfer of all or any portion of this Warrant in the Warrant Register, upon surrender of this Warrant, and payment for all applicable transfer taxes (if any). Upon any such registration or transfer, a new warrant to purchase Common Stock in substantially the form of this Warrant (any such new warrant, a “</w:t>
      </w:r>
      <w:r>
        <w:rPr>
          <w:rFonts w:ascii="Times New Roman" w:cs="Times New Roman" w:eastAsia="Times New Roman" w:hAnsi="Times New Roman"/>
          <w:sz w:val="18"/>
          <w:szCs w:val="18"/>
          <w:b w:val="1"/>
          <w:bCs w:val="1"/>
          <w:i w:val="1"/>
          <w:iCs w:val="1"/>
          <w:color w:val="auto"/>
        </w:rPr>
        <w:t>New Warrant</w:t>
      </w:r>
      <w:r>
        <w:rPr>
          <w:rFonts w:ascii="Times New Roman" w:cs="Times New Roman" w:eastAsia="Times New Roman" w:hAnsi="Times New Roman"/>
          <w:sz w:val="18"/>
          <w:szCs w:val="18"/>
          <w:color w:val="auto"/>
        </w:rPr>
        <w:t xml:space="preserve">”)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Transfer Agent to, prepare, issue and deliver at the Company’s own expense any New Warrant under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Until due presentment for registration of transfer, the Company may treat the registered Holder hereof as the owner and holder for all purposes, and the Company shall not be affected by any notice to the contrary.</w:t>
      </w:r>
    </w:p>
    <w:p>
      <w:pPr>
        <w:spacing w:after="0" w:line="188" w:lineRule="exact"/>
        <w:rPr>
          <w:rFonts w:ascii="Times New Roman" w:cs="Times New Roman" w:eastAsia="Times New Roman" w:hAnsi="Times New Roman"/>
          <w:sz w:val="18"/>
          <w:szCs w:val="18"/>
          <w:b w:val="1"/>
          <w:bCs w:val="1"/>
          <w:color w:val="auto"/>
        </w:rPr>
      </w:pPr>
    </w:p>
    <w:p>
      <w:pPr>
        <w:ind w:left="1020" w:hanging="364"/>
        <w:spacing w:after="0"/>
        <w:tabs>
          <w:tab w:leader="none" w:pos="10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Exercise of Warrants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right="20" w:firstLine="980"/>
        <w:spacing w:after="0" w:line="282" w:lineRule="auto"/>
        <w:tabs>
          <w:tab w:leader="none" w:pos="1362"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or any part of this Warrant shall be exercisable by the registered Holder in any manner permitted by this Warrant (including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w:t>
      </w:r>
      <w:r>
        <w:rPr>
          <w:rFonts w:ascii="Times New Roman" w:cs="Times New Roman" w:eastAsia="Times New Roman" w:hAnsi="Times New Roman"/>
          <w:sz w:val="18"/>
          <w:szCs w:val="18"/>
          <w:color w:val="auto"/>
        </w:rPr>
        <w:t>) at any time and from time to time on or after the Original Issue Date, and such rights shall not expire.</w:t>
      </w:r>
    </w:p>
    <w:p>
      <w:pPr>
        <w:spacing w:after="0" w:line="161" w:lineRule="exact"/>
        <w:rPr>
          <w:rFonts w:ascii="Times New Roman" w:cs="Times New Roman" w:eastAsia="Times New Roman" w:hAnsi="Times New Roman"/>
          <w:sz w:val="18"/>
          <w:szCs w:val="18"/>
          <w:color w:val="auto"/>
        </w:rPr>
      </w:pPr>
    </w:p>
    <w:p>
      <w:pPr>
        <w:jc w:val="both"/>
        <w:ind w:firstLine="980"/>
        <w:spacing w:after="0" w:line="274" w:lineRule="auto"/>
        <w:tabs>
          <w:tab w:leader="none" w:pos="1358"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Holder may exercise this Warrant by delivering to the Company (i) an exercise notice, in the form attached as </w:t>
      </w:r>
      <w:r>
        <w:rPr>
          <w:rFonts w:ascii="Times New Roman" w:cs="Times New Roman" w:eastAsia="Times New Roman" w:hAnsi="Times New Roman"/>
          <w:sz w:val="17"/>
          <w:szCs w:val="17"/>
          <w:u w:val="single" w:color="auto"/>
          <w:color w:val="auto"/>
        </w:rPr>
        <w:t>Schedule 1</w:t>
      </w:r>
      <w:r>
        <w:rPr>
          <w:rFonts w:ascii="Times New Roman" w:cs="Times New Roman" w:eastAsia="Times New Roman" w:hAnsi="Times New Roman"/>
          <w:sz w:val="17"/>
          <w:szCs w:val="17"/>
          <w:color w:val="auto"/>
        </w:rPr>
        <w:t xml:space="preserve"> hereto (the “</w:t>
      </w:r>
      <w:r>
        <w:rPr>
          <w:rFonts w:ascii="Times New Roman" w:cs="Times New Roman" w:eastAsia="Times New Roman" w:hAnsi="Times New Roman"/>
          <w:sz w:val="17"/>
          <w:szCs w:val="17"/>
          <w:b w:val="1"/>
          <w:bCs w:val="1"/>
          <w:i w:val="1"/>
          <w:iCs w:val="1"/>
          <w:color w:val="auto"/>
        </w:rPr>
        <w:t>Exercise Notice</w:t>
      </w:r>
      <w:r>
        <w:rPr>
          <w:rFonts w:ascii="Times New Roman" w:cs="Times New Roman" w:eastAsia="Times New Roman" w:hAnsi="Times New Roman"/>
          <w:sz w:val="17"/>
          <w:szCs w:val="17"/>
          <w:color w:val="auto"/>
        </w:rPr>
        <w:t xml:space="preserve">”), completed and duly signed, and (ii) payment of the Exercise Price for the number of Warrant Shares as to which this Warrant is being exercised (which may take the form of a “cashless exercise” if so indicated in the Exercise Notice pursuant to </w:t>
      </w:r>
      <w:r>
        <w:rPr>
          <w:rFonts w:ascii="Times New Roman" w:cs="Times New Roman" w:eastAsia="Times New Roman" w:hAnsi="Times New Roman"/>
          <w:sz w:val="17"/>
          <w:szCs w:val="17"/>
          <w:u w:val="single" w:color="auto"/>
          <w:color w:val="auto"/>
        </w:rPr>
        <w:t>Section 10</w:t>
      </w:r>
      <w:r>
        <w:rPr>
          <w:rFonts w:ascii="Times New Roman" w:cs="Times New Roman" w:eastAsia="Times New Roman" w:hAnsi="Times New Roman"/>
          <w:sz w:val="17"/>
          <w:szCs w:val="17"/>
          <w:color w:val="auto"/>
        </w:rPr>
        <w:t xml:space="preserve"> below), and the date on which the last of such items is delivered to the Company (as determined in accordance with the notice provisions hereof) is an “</w:t>
      </w:r>
      <w:r>
        <w:rPr>
          <w:rFonts w:ascii="Times New Roman" w:cs="Times New Roman" w:eastAsia="Times New Roman" w:hAnsi="Times New Roman"/>
          <w:sz w:val="17"/>
          <w:szCs w:val="17"/>
          <w:b w:val="1"/>
          <w:bCs w:val="1"/>
          <w:i w:val="1"/>
          <w:iCs w:val="1"/>
          <w:color w:val="auto"/>
        </w:rPr>
        <w:t>Exercise Date</w:t>
      </w:r>
      <w:r>
        <w:rPr>
          <w:rFonts w:ascii="Times New Roman" w:cs="Times New Roman" w:eastAsia="Times New Roman" w:hAnsi="Times New Roman"/>
          <w:sz w:val="17"/>
          <w:szCs w:val="17"/>
          <w:color w:val="auto"/>
        </w:rPr>
        <w:t>.” The Holder shall not be required to deliver the original Warrant in order to effect an exercise hereunder. Execution and delivery of the Exercise Notice shall have the same effect as cancellation of the original Warrant and issuance of a New Warrant evidencing the right to purchase the remaining number of Warrant Shares,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344170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1" w:name="page32"/>
    <w:bookmarkEnd w:id="31"/>
    <w:p>
      <w:pPr>
        <w:ind w:left="9644"/>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ind w:left="324" w:hanging="324"/>
        <w:spacing w:after="0"/>
        <w:tabs>
          <w:tab w:leader="none" w:pos="324"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Delivery of Warrant Shares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left="-656" w:firstLine="980"/>
        <w:spacing w:after="0" w:line="252" w:lineRule="auto"/>
        <w:tabs>
          <w:tab w:leader="none" w:pos="773"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exercise of this Warrant, the Company shall promptly (but in no event later than the number of Trading Days comprising the Standard Settlement Period following the Exercise Date), upon the request of the Holder, credit such aggregate number of shares of Common Stock specified by the Holder in the Exercise Notice and to which the Holder is entitled pursuant to such exercise (the “</w:t>
      </w:r>
      <w:r>
        <w:rPr>
          <w:rFonts w:ascii="Times New Roman" w:cs="Times New Roman" w:eastAsia="Times New Roman" w:hAnsi="Times New Roman"/>
          <w:sz w:val="18"/>
          <w:szCs w:val="18"/>
          <w:b w:val="1"/>
          <w:bCs w:val="1"/>
          <w:i w:val="1"/>
          <w:iCs w:val="1"/>
          <w:color w:val="auto"/>
        </w:rPr>
        <w:t>Exercise Shares</w:t>
      </w:r>
      <w:r>
        <w:rPr>
          <w:rFonts w:ascii="Times New Roman" w:cs="Times New Roman" w:eastAsia="Times New Roman" w:hAnsi="Times New Roman"/>
          <w:sz w:val="18"/>
          <w:szCs w:val="18"/>
          <w:color w:val="auto"/>
        </w:rPr>
        <w:t>”) to the Holder’s or its designee’s balance account with The Depository Trust Company (“</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through its Deposit Withdrawal At Custodian system, or if the Transfer Agent is then a participant in the DTC Fast Automated Securities Transfer Program (the “</w:t>
      </w:r>
      <w:r>
        <w:rPr>
          <w:rFonts w:ascii="Times New Roman" w:cs="Times New Roman" w:eastAsia="Times New Roman" w:hAnsi="Times New Roman"/>
          <w:sz w:val="18"/>
          <w:szCs w:val="18"/>
          <w:b w:val="1"/>
          <w:bCs w:val="1"/>
          <w:i w:val="1"/>
          <w:iCs w:val="1"/>
          <w:color w:val="auto"/>
        </w:rPr>
        <w:t>FAST Program</w:t>
      </w:r>
      <w:r>
        <w:rPr>
          <w:rFonts w:ascii="Times New Roman" w:cs="Times New Roman" w:eastAsia="Times New Roman" w:hAnsi="Times New Roman"/>
          <w:sz w:val="18"/>
          <w:szCs w:val="18"/>
          <w:color w:val="auto"/>
        </w:rPr>
        <w:t>”) and either (A) there is an effective registration statement permitting the issuance of the Warrant Shares to or the resale of such Warrant Shares by the Holder or (B) the Exercise Shares are eligible for resale by the Holder without volume or manner-of-sale restrictions pursuant to Rule 144 promulgated under the Securities Act (assuming cashless exercise of this Warrant). If the Transfer Agent is not a member of the FAST Program or if (A) and (B) above are not true, the Transfer Agent will either (i) record the Exercise Shares in the name of the Holder or its designee on the certificates reflecting the Exercise Shares with an appropriate legend regarding restriction on transferability, which shall be issued and dispatched by overnight courier to the address as specified in the Exercise Notice, and on the Company’s share register or (ii) issue such Exercise Shares in the name of the Holder or its designee in restricted book-entry form in the Company’s share register. The Holder, or any Person so designated by the Holder to receive Warrant Shares, shall be deemed to have become the holder of record of such Warrant Shares as of the Exercise Date, irrespective of the date such Warrant Shares are credited to the Holder’s DTC account, the date of the book entry positions or the date of delivery of the certificates evidencing such Exercise Shares, as the case may be.</w:t>
      </w:r>
    </w:p>
    <w:p>
      <w:pPr>
        <w:spacing w:after="0" w:line="197" w:lineRule="exact"/>
        <w:rPr>
          <w:rFonts w:ascii="Times New Roman" w:cs="Times New Roman" w:eastAsia="Times New Roman" w:hAnsi="Times New Roman"/>
          <w:sz w:val="18"/>
          <w:szCs w:val="18"/>
          <w:color w:val="auto"/>
        </w:rPr>
      </w:pPr>
    </w:p>
    <w:p>
      <w:pPr>
        <w:jc w:val="both"/>
        <w:ind w:left="-656" w:firstLine="980"/>
        <w:spacing w:after="0" w:line="253" w:lineRule="auto"/>
        <w:tabs>
          <w:tab w:leader="none" w:pos="73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fails to deliver to the Holder or its designee Exercise Shares in the manner required pursuant to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within the Standard Settlement Period following the Exercise Date (other than a failure solely caused by incorrect or incomplete information provided by the Holder to the Company) and the Holder purchases (in an open market transaction or otherwise) shares of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b w:val="1"/>
          <w:bCs w:val="1"/>
          <w:i w:val="1"/>
          <w:iCs w:val="1"/>
          <w:color w:val="auto"/>
        </w:rPr>
        <w:t>Buy-In</w:t>
      </w:r>
      <w:r>
        <w:rPr>
          <w:rFonts w:ascii="Times New Roman" w:cs="Times New Roman" w:eastAsia="Times New Roman" w:hAnsi="Times New Roman"/>
          <w:sz w:val="18"/>
          <w:szCs w:val="18"/>
          <w:color w:val="auto"/>
        </w:rPr>
        <w:t>”) but did not receive within the Standard Settlement Period, then the Company shall, within two (2) Trading Days after the Holder’s request, (1) pay in cash to the Holder the amount, if any, by which (x) the Holder’s total purchase price (including brokerage commissions, if any) for the shares of Common Stock so purchased in the Buy-In exceeds (y) the amount obtained by multiplying (A) the number of Warrant Shares that the Company was required to deliver to the Holder in connection with the exercise at issue times (B) the price at which the sell order giving rise to such purchase obligation was executed, and (2)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356235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60" w:right="339" w:bottom="1440" w:gutter="0" w:footer="0" w:header="0"/>
        </w:sectPr>
      </w:pPr>
    </w:p>
    <w:bookmarkStart w:id="32" w:name="page33"/>
    <w:bookmarkEnd w:id="32"/>
    <w:p>
      <w:pPr>
        <w:ind w:left="9644"/>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both"/>
        <w:ind w:left="-656" w:firstLine="980"/>
        <w:spacing w:after="0" w:line="254" w:lineRule="auto"/>
        <w:tabs>
          <w:tab w:leader="none" w:pos="70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permitted by law and subject to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the Company’s obligations to issue and deliver Warrant Shares in accordance with and subject to the terms hereof (including the limitations set forth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Subject to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nothing herein shall limit the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184" w:lineRule="exact"/>
        <w:rPr>
          <w:rFonts w:ascii="Times New Roman" w:cs="Times New Roman" w:eastAsia="Times New Roman" w:hAnsi="Times New Roman"/>
          <w:sz w:val="18"/>
          <w:szCs w:val="18"/>
          <w:color w:val="auto"/>
        </w:rPr>
      </w:pPr>
    </w:p>
    <w:p>
      <w:pPr>
        <w:jc w:val="both"/>
        <w:ind w:left="-656" w:firstLine="656"/>
        <w:spacing w:after="0" w:line="257" w:lineRule="auto"/>
        <w:tabs>
          <w:tab w:leader="none" w:pos="307"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Charges, Taxes and Expenses</w:t>
      </w:r>
      <w:r>
        <w:rPr>
          <w:rFonts w:ascii="Times New Roman" w:cs="Times New Roman" w:eastAsia="Times New Roman" w:hAnsi="Times New Roman"/>
          <w:sz w:val="18"/>
          <w:szCs w:val="18"/>
          <w:color w:val="auto"/>
        </w:rPr>
        <w:t>. Issuance and delivery of the Warrant Shares upon exercise of this Warrant shall be made without charge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Holder for any issue or transfer tax, transfer agent fee or other incidental tax or expense (excluding any applicable stamp duties) in respect of the issuance of the Warrant Shares, all of which taxes and expenses shall be paid by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be required to pay any tax that may be payable in respect of any transfer involved in the registration of any Warrant Shares or the Warrants in a name other than that of the Holder or an Affiliate thereof. The Holder shall be responsible for all other tax liability that may arise as a result of holding or transferring this Warrant or receiving Warrant Shares upon exercise hereof.</w:t>
      </w:r>
    </w:p>
    <w:p>
      <w:pPr>
        <w:spacing w:after="0" w:line="182" w:lineRule="exact"/>
        <w:rPr>
          <w:rFonts w:ascii="Times New Roman" w:cs="Times New Roman" w:eastAsia="Times New Roman" w:hAnsi="Times New Roman"/>
          <w:sz w:val="18"/>
          <w:szCs w:val="18"/>
          <w:b w:val="1"/>
          <w:bCs w:val="1"/>
          <w:color w:val="auto"/>
        </w:rPr>
      </w:pPr>
    </w:p>
    <w:p>
      <w:pPr>
        <w:jc w:val="both"/>
        <w:ind w:left="-656" w:firstLine="656"/>
        <w:spacing w:after="0" w:line="259" w:lineRule="auto"/>
        <w:tabs>
          <w:tab w:leader="none" w:pos="334"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Replacement of Warrant</w:t>
      </w:r>
      <w:r>
        <w:rPr>
          <w:rFonts w:ascii="Times New Roman" w:cs="Times New Roman" w:eastAsia="Times New Roman" w:hAnsi="Times New Roman"/>
          <w:sz w:val="18"/>
          <w:szCs w:val="18"/>
          <w:color w:val="auto"/>
        </w:rPr>
        <w:t>. If this Warrant is mutilated, lost, stolen or destroyed, the Company shall issue or cause to be issued in exchange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substitution for and upon cancellation hereof, or in lieu of and substitution for this Warrant, a New Warrant, but only upon receipt of evidence reasonably satisfactory to the Company of such loss, theft or destruction (in such case) and, in each case, a customary and reasonable contractual indemnity, if requested by the Company. If a New Warrant is requested as a result of a mutilation of this Warrant, then the Holder shall deliver such mutilated Warrant to the Company as a condition precedent to the Company’s obligation to issue the New Warrant.</w:t>
      </w:r>
    </w:p>
    <w:p>
      <w:pPr>
        <w:spacing w:after="0" w:line="179" w:lineRule="exact"/>
        <w:rPr>
          <w:rFonts w:ascii="Times New Roman" w:cs="Times New Roman" w:eastAsia="Times New Roman" w:hAnsi="Times New Roman"/>
          <w:sz w:val="18"/>
          <w:szCs w:val="18"/>
          <w:b w:val="1"/>
          <w:bCs w:val="1"/>
          <w:color w:val="auto"/>
        </w:rPr>
      </w:pPr>
    </w:p>
    <w:p>
      <w:pPr>
        <w:jc w:val="both"/>
        <w:ind w:left="-656" w:firstLine="656"/>
        <w:spacing w:after="0" w:line="254" w:lineRule="auto"/>
        <w:tabs>
          <w:tab w:leader="none" w:pos="401"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Reservation of Warrant Shares</w:t>
      </w:r>
      <w:r>
        <w:rPr>
          <w:rFonts w:ascii="Times New Roman" w:cs="Times New Roman" w:eastAsia="Times New Roman" w:hAnsi="Times New Roman"/>
          <w:sz w:val="18"/>
          <w:szCs w:val="18"/>
          <w:color w:val="auto"/>
        </w:rPr>
        <w:t>. The Company covenants that it will, at all times while this Warrant is outstanding, reserve and keep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available out of the aggregate of its authorized but unissued and otherwise unreserved Common Stock, solely for the purpose of enabling it to issue Warrant Shares upon exercise of this Warrant as herein provided, the number of Warrant Shares that are initially issuable and deliverable upon the exercise of this entire Warrant, free from preemptive rights or any other contingent purchase rights of persons other than the Holder (taking into account the adjustments and restrictions of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The Company covenants that all Warrant Shares so issuable and deliverable shall, upon issuance and the payment of the applicable Exercise Price in accordance with the terms hereof, be duly authorized, validly issued, and fully paid and non-assessable. The Company will take all such action as may be reasonably necessary to assure that such shares of Common Stock may be issued as provided herein without violation of any applicable law or regulation, or of any requirements of any securities exchange or automated quotation system upon which the Common Stock may be listed. The Company further covenants that it will not, without the prior written consent of the Holder, take any actions to increase the par value of the Common Stock at any time while this Warrant is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354965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60" w:right="339" w:bottom="1440" w:gutter="0" w:footer="0" w:header="0"/>
        </w:sectPr>
      </w:pPr>
    </w:p>
    <w:bookmarkStart w:id="33" w:name="page34"/>
    <w:bookmarkEnd w:id="33"/>
    <w:p>
      <w:pPr>
        <w:ind w:left="9644"/>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ind w:left="-656" w:firstLine="656"/>
        <w:spacing w:after="0" w:line="286" w:lineRule="auto"/>
        <w:tabs>
          <w:tab w:leader="none" w:pos="361"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Certain Adjustments</w:t>
      </w:r>
      <w:r>
        <w:rPr>
          <w:rFonts w:ascii="Times New Roman" w:cs="Times New Roman" w:eastAsia="Times New Roman" w:hAnsi="Times New Roman"/>
          <w:sz w:val="18"/>
          <w:szCs w:val="18"/>
          <w:color w:val="auto"/>
        </w:rPr>
        <w:t>. The Exercise Price and number of Warrant Shares issuable upon exercise of this Warrant are subject to adjustment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from time to time as set forth in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b w:val="1"/>
          <w:bCs w:val="1"/>
          <w:color w:val="auto"/>
        </w:rPr>
      </w:pPr>
    </w:p>
    <w:p>
      <w:pPr>
        <w:jc w:val="both"/>
        <w:ind w:left="-656" w:firstLine="980"/>
        <w:spacing w:after="0" w:line="253" w:lineRule="auto"/>
        <w:tabs>
          <w:tab w:leader="none" w:pos="749"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xml:space="preserve">. If the Company, at any time while this Warrant is outstanding, (i) pays a stock dividend on its Common Stock or otherwise makes a distribution on any class of capital stock issued and outstanding on the Original Issue Date and in accordance with the terms of such stock on the Original Issue Date or as amended, that is payable in shares of Common Stock, (ii) subdivides its outstanding shares of Common Stock into a larger number of shares of Common Stock, (iii) combines its outstanding shares of Common Stock into a smaller number of shares of Common Stock or (iv) issues by reclassification of shares of capital stock any additional shares of Common Stock of the Company, then in each such case the Exercise Price shall be multiplied by a fraction, the numerator of which shall be the number of shares of Common Stock outstanding immediately before such event and the denominator of which shall be the number of shares of Common Stock outstanding immediately after such event. Any adjustment made pursuant to clause (i) of this paragraph shall become effective immediately after the record date for the determination of stockholders entitled to receive such dividend or distribution,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such record date shall have been fixed and such dividend is not fully paid on the date fixed therefor, the Exercise Price shall be recomputed accordingly as of the close of business on such record date and thereafter the Exercise Price shall be adjusted pursuant to this paragraph as of the time of actual payment of such dividends. Any adjustment pursuant to clause (ii), (iii) or (iv) of this paragraph shall become effective immediately after the effective date of such subdivision, combination or issuance.</w:t>
      </w:r>
    </w:p>
    <w:p>
      <w:pPr>
        <w:spacing w:after="0" w:line="189" w:lineRule="exact"/>
        <w:rPr>
          <w:rFonts w:ascii="Times New Roman" w:cs="Times New Roman" w:eastAsia="Times New Roman" w:hAnsi="Times New Roman"/>
          <w:sz w:val="18"/>
          <w:szCs w:val="18"/>
          <w:color w:val="auto"/>
        </w:rPr>
      </w:pPr>
    </w:p>
    <w:p>
      <w:pPr>
        <w:jc w:val="both"/>
        <w:ind w:left="-656" w:firstLine="980"/>
        <w:spacing w:after="0" w:line="252" w:lineRule="auto"/>
        <w:tabs>
          <w:tab w:leader="none" w:pos="8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xml:space="preserve">. If, on or after the Original Issue Date, the Company shall declare or make any dividend or other pro rata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but, for the avoidance of doubt, excluding any distribution of shares of Common Stock subject to </w:t>
      </w:r>
      <w:r>
        <w:rPr>
          <w:rFonts w:ascii="Times New Roman" w:cs="Times New Roman" w:eastAsia="Times New Roman" w:hAnsi="Times New Roman"/>
          <w:sz w:val="18"/>
          <w:szCs w:val="18"/>
          <w:u w:val="single" w:color="auto"/>
          <w:color w:val="auto"/>
        </w:rPr>
        <w:t>Section 9(a)</w:t>
      </w:r>
      <w:r>
        <w:rPr>
          <w:rFonts w:ascii="Times New Roman" w:cs="Times New Roman" w:eastAsia="Times New Roman" w:hAnsi="Times New Roman"/>
          <w:sz w:val="18"/>
          <w:szCs w:val="18"/>
          <w:color w:val="auto"/>
        </w:rPr>
        <w:t xml:space="preserve">, any distribution of Purchase Rights (as defined below) subject to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xml:space="preserve"> and any Fundamental Transaction (as defined below) subject to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b w:val="1"/>
          <w:bCs w:val="1"/>
          <w:i w:val="1"/>
          <w:iCs w:val="1"/>
          <w:color w:val="auto"/>
        </w:rPr>
        <w:t>Distribution</w:t>
      </w:r>
      <w:r>
        <w:rPr>
          <w:rFonts w:ascii="Times New Roman" w:cs="Times New Roman" w:eastAsia="Times New Roman" w:hAnsi="Times New Roman"/>
          <w:sz w:val="18"/>
          <w:szCs w:val="18"/>
          <w:color w:val="auto"/>
        </w:rPr>
        <w: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(as defined below)) immediately before the date on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and the other Attribution Parties exceeding the Maximum Percentage, then the Holder shall not be entitled to participate in such Distribution to such extent (and shall not be entitled to beneficial ownership of such shares of Common Stock as a result of such Distribution (and beneficial ownership) to such extent) and such portion of such Distribution shall be held in abeyance for the benefit of the Holder until such time or times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495300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60" w:right="339" w:bottom="1440" w:gutter="0" w:footer="0" w:header="0"/>
        </w:sectPr>
      </w:pPr>
    </w:p>
    <w:bookmarkStart w:id="34" w:name="page35"/>
    <w:bookmarkEnd w:id="34"/>
    <w:p>
      <w:pPr>
        <w:ind w:left="9320"/>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both"/>
        <w:ind w:left="-980" w:firstLine="980"/>
        <w:spacing w:after="0" w:line="252" w:lineRule="auto"/>
        <w:tabs>
          <w:tab w:leader="none" w:pos="47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If at any time on or after the Original Issue Date, the Company grants, issues or sells any Options, Convertible Securities or rights to purchase stock, warrants, securities or other property, in each case pro rata to the record holders of any class of Common Stock (the “</w:t>
      </w:r>
      <w:r>
        <w:rPr>
          <w:rFonts w:ascii="Times New Roman" w:cs="Times New Roman" w:eastAsia="Times New Roman" w:hAnsi="Times New Roman"/>
          <w:sz w:val="18"/>
          <w:szCs w:val="18"/>
          <w:b w:val="1"/>
          <w:bCs w:val="1"/>
          <w:i w:val="1"/>
          <w:iCs w:val="1"/>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Common Stock are to be determined for the grant, issuance or sale of such Purchase Rights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to the extent that the Holder’s 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Common Stock as a result of such Purchase Right (and beneficial ownership) to such extent) and such Purchase Right to such extent shall be held in abeyance for the benefit of the Holder until such time or times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to be held similarly in abeyance) to the same extent as if there had been no such limitation). As used in this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(i) “Options” means any rights, warrants or options to subscribe for or purchase shares of Common Stock or Convertible Securities and (ii) “Convertible Securities” mean any stock or securities (other than Options) directly or indirectly convertible into or exercisable or exchangeable for shares of Common Stock.</w:t>
      </w:r>
    </w:p>
    <w:p>
      <w:pPr>
        <w:spacing w:after="0" w:line="194" w:lineRule="exact"/>
        <w:rPr>
          <w:rFonts w:ascii="Times New Roman" w:cs="Times New Roman" w:eastAsia="Times New Roman" w:hAnsi="Times New Roman"/>
          <w:sz w:val="18"/>
          <w:szCs w:val="18"/>
          <w:color w:val="auto"/>
        </w:rPr>
      </w:pPr>
    </w:p>
    <w:p>
      <w:pPr>
        <w:jc w:val="both"/>
        <w:ind w:left="-980" w:firstLine="980"/>
        <w:spacing w:after="0" w:line="251" w:lineRule="auto"/>
        <w:tabs>
          <w:tab w:leader="none" w:pos="40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Transactions</w:t>
      </w:r>
      <w:r>
        <w:rPr>
          <w:rFonts w:ascii="Times New Roman" w:cs="Times New Roman" w:eastAsia="Times New Roman" w:hAnsi="Times New Roman"/>
          <w:sz w:val="18"/>
          <w:szCs w:val="18"/>
          <w:color w:val="auto"/>
        </w:rPr>
        <w:t xml:space="preserve">. If, at any time while this Warrant is outstanding (i) the Company effects any merger or consolidation of the Company with or into another Person, in which the Company is not the surviving entity or in which the stockholders of the Company immediately prior to such merger or consolidation do not own, directly or indirectly, at least 50% of the voting power of the surviving entity immediately after such merger or consolidation, (ii) the Company effects any sale to another Person of all or substantially all of its assets in one or a series of related transactions, (iii) pursuant to any tender offer or exchange offer (whether by the Company or another Person), holders of capital stock tender shares representing more than 50% of the voting power of the capital stock of the Company and the Company or such other Person, as applicable, accepts such tender for payment, (iv) the Company consummates a stock purchase agreement or other business combination (including, without limitation, a reorganization, recapitalization, spin-off or scheme of arrangement) with another Person whereby such other Person acquires more than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 or (v) the Company effects any reclassification of the Common Stock or any compulsory share exchange pursuant to which the Common Stock is effectively converted into or exchanged for other securities, cash or property (other than as a result of a subdivision or combination of shares of Common Stock covered by </w:t>
      </w:r>
      <w:r>
        <w:rPr>
          <w:rFonts w:ascii="Times New Roman" w:cs="Times New Roman" w:eastAsia="Times New Roman" w:hAnsi="Times New Roman"/>
          <w:sz w:val="18"/>
          <w:szCs w:val="18"/>
          <w:u w:val="single" w:color="auto"/>
          <w:color w:val="auto"/>
        </w:rPr>
        <w:t>Section 9(a)</w:t>
      </w:r>
      <w:r>
        <w:rPr>
          <w:rFonts w:ascii="Times New Roman" w:cs="Times New Roman" w:eastAsia="Times New Roman" w:hAnsi="Times New Roman"/>
          <w:sz w:val="18"/>
          <w:szCs w:val="18"/>
          <w:color w:val="auto"/>
        </w:rPr>
        <w:t xml:space="preserve"> above) (in any such case, a “</w:t>
      </w:r>
      <w:r>
        <w:rPr>
          <w:rFonts w:ascii="Times New Roman" w:cs="Times New Roman" w:eastAsia="Times New Roman" w:hAnsi="Times New Roman"/>
          <w:sz w:val="18"/>
          <w:szCs w:val="18"/>
          <w:b w:val="1"/>
          <w:bCs w:val="1"/>
          <w:i w:val="1"/>
          <w:iCs w:val="1"/>
          <w:color w:val="auto"/>
        </w:rPr>
        <w:t>Fundamental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Transaction</w:t>
      </w:r>
      <w:r>
        <w:rPr>
          <w:rFonts w:ascii="Times New Roman" w:cs="Times New Roman" w:eastAsia="Times New Roman" w:hAnsi="Times New Roman"/>
          <w:sz w:val="18"/>
          <w:szCs w:val="18"/>
          <w:color w:val="auto"/>
        </w:rPr>
        <w:t>”), then following such Fundamental Transaction the Holder shall have the right to receive, upon exercise of this Warrant, the same amount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without regard to any limitations on exercise contained herein (the “</w:t>
      </w:r>
      <w:r>
        <w:rPr>
          <w:rFonts w:ascii="Times New Roman" w:cs="Times New Roman" w:eastAsia="Times New Roman" w:hAnsi="Times New Roman"/>
          <w:sz w:val="18"/>
          <w:szCs w:val="18"/>
          <w:b w:val="1"/>
          <w:bCs w:val="1"/>
          <w:i w:val="1"/>
          <w:iCs w:val="1"/>
          <w:color w:val="auto"/>
        </w:rPr>
        <w:t>Alternate Consideration</w:t>
      </w:r>
      <w:r>
        <w:rPr>
          <w:rFonts w:ascii="Times New Roman" w:cs="Times New Roman" w:eastAsia="Times New Roman" w:hAnsi="Times New Roman"/>
          <w:sz w:val="18"/>
          <w:szCs w:val="18"/>
          <w:color w:val="auto"/>
        </w:rPr>
        <w:t xml:space="preserve">”). The Company shall not effect any Fundamental Transaction in which the Company is not the surviving entity or the Alternate Consideration includes securities of another Person unless (i) the Alternate Consideration is solely cash and the Company provides for the simultaneous “cashless exercise” of this Warrant pursuant to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below or (ii) prior to or simultaneously with the consummation thereof, any successor to the Company, surviving entity or other Person (including any purchaser of assets of the Company) shall assume the obligation to deliver to the Holder such Alternate Consideration as, in accordance with the foregoing provisions, the Holder may be entitled to receive, and the other obligations under this Warrant. The provisions of this paragraph (d) shall similarly apply to subsequent transactions analogous of a Fundamental Transaction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365125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360" w:right="339" w:bottom="1440" w:gutter="0" w:footer="0" w:header="0"/>
        </w:sectPr>
      </w:pPr>
    </w:p>
    <w:bookmarkStart w:id="35" w:name="page36"/>
    <w:bookmarkEnd w:id="35"/>
    <w:p>
      <w:pPr>
        <w:ind w:left="9320"/>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both"/>
        <w:ind w:left="-980" w:firstLine="980"/>
        <w:spacing w:after="0" w:line="261" w:lineRule="auto"/>
        <w:tabs>
          <w:tab w:leader="none" w:pos="43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Warrant Shares</w:t>
      </w:r>
      <w:r>
        <w:rPr>
          <w:rFonts w:ascii="Times New Roman" w:cs="Times New Roman" w:eastAsia="Times New Roman" w:hAnsi="Times New Roman"/>
          <w:sz w:val="18"/>
          <w:szCs w:val="18"/>
          <w:color w:val="auto"/>
        </w:rPr>
        <w:t xml:space="preserve">. Simultaneously with any adjustment to the Exercise Price pursuant to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the number of Warrant Shares that may be purchased upon exercise of this Warrant shall be increased or decreased proportionately, so that after such adjustment the aggregate Exercise Price payable hereunder for the increased or decreased number of Warrant Shares shall be the same as the aggregate Exercise Price in effect immediately prior to such adjustment.</w:t>
      </w:r>
    </w:p>
    <w:p>
      <w:pPr>
        <w:spacing w:after="0" w:line="179" w:lineRule="exact"/>
        <w:rPr>
          <w:rFonts w:ascii="Times New Roman" w:cs="Times New Roman" w:eastAsia="Times New Roman" w:hAnsi="Times New Roman"/>
          <w:sz w:val="18"/>
          <w:szCs w:val="18"/>
          <w:color w:val="auto"/>
        </w:rPr>
      </w:pPr>
    </w:p>
    <w:p>
      <w:pPr>
        <w:ind w:left="360" w:hanging="360"/>
        <w:spacing w:after="0"/>
        <w:tabs>
          <w:tab w:leader="none" w:pos="3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xml:space="preserve">. All calculations under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shall be made to the nearest one-tenth of one cent or the nearest share, as applicable.</w:t>
      </w:r>
    </w:p>
    <w:p>
      <w:pPr>
        <w:spacing w:after="0" w:line="225" w:lineRule="exact"/>
        <w:rPr>
          <w:rFonts w:ascii="Times New Roman" w:cs="Times New Roman" w:eastAsia="Times New Roman" w:hAnsi="Times New Roman"/>
          <w:sz w:val="18"/>
          <w:szCs w:val="18"/>
          <w:color w:val="auto"/>
        </w:rPr>
      </w:pPr>
    </w:p>
    <w:p>
      <w:pPr>
        <w:jc w:val="both"/>
        <w:ind w:left="-980" w:firstLine="980"/>
        <w:spacing w:after="0" w:line="256" w:lineRule="auto"/>
        <w:tabs>
          <w:tab w:leader="none" w:pos="44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Adjustments</w:t>
      </w:r>
      <w:r>
        <w:rPr>
          <w:rFonts w:ascii="Times New Roman" w:cs="Times New Roman" w:eastAsia="Times New Roman" w:hAnsi="Times New Roman"/>
          <w:sz w:val="18"/>
          <w:szCs w:val="18"/>
          <w:color w:val="auto"/>
        </w:rPr>
        <w:t xml:space="preserve">. Upon the occurrence of each adjustment pursuant to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the Company at its expense will, at the written request of the Holder, promptly compute such adjustment, in good faith, in accordance with the terms of this Warrant and prepare a certificate setting forth such adjustment, including a statement of the adjusted Exercise Price and adjusted number or type of Warrant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Transfer Agent.</w:t>
      </w:r>
    </w:p>
    <w:p>
      <w:pPr>
        <w:spacing w:after="0" w:line="187" w:lineRule="exact"/>
        <w:rPr>
          <w:rFonts w:ascii="Times New Roman" w:cs="Times New Roman" w:eastAsia="Times New Roman" w:hAnsi="Times New Roman"/>
          <w:sz w:val="18"/>
          <w:szCs w:val="18"/>
          <w:color w:val="auto"/>
        </w:rPr>
      </w:pPr>
    </w:p>
    <w:p>
      <w:pPr>
        <w:jc w:val="both"/>
        <w:ind w:left="-980" w:firstLine="980"/>
        <w:spacing w:after="0" w:line="253" w:lineRule="auto"/>
        <w:tabs>
          <w:tab w:leader="none" w:pos="3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Corporate Events</w:t>
      </w:r>
      <w:r>
        <w:rPr>
          <w:rFonts w:ascii="Times New Roman" w:cs="Times New Roman" w:eastAsia="Times New Roman" w:hAnsi="Times New Roman"/>
          <w:sz w:val="18"/>
          <w:szCs w:val="18"/>
          <w:color w:val="auto"/>
        </w:rPr>
        <w:t xml:space="preserve">. If, while this Warrant is outstanding, the Company (i) declares a dividend or any other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the Company shall deliver to the Holder a notice of such transaction at least five (5) days prior to the applicable record or effective date on which a Person would need to hold Common Stock in order to participate in or vote with respect to such transaction;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failure to deliver such notice or any defect therein shall not affect the validity of the corporate action required to be described in such notice. In addition, if while this Warrant is outstanding, the Company authorizes or approves, enters into any agreement contemplating or solicits stockholder approval for any Fundamental Transaction contemplated by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color w:val="auto"/>
        </w:rPr>
        <w:t xml:space="preserve">, other than a Fundamental Transaction under clause (iii) of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color w:val="auto"/>
        </w:rPr>
        <w:t xml:space="preserve"> the Company shall deliver to the Holder a notice of such Fundamental Transaction at least thirty (30) days prior to the date such Fundamental Transaction is consummated. Holder agrees to maintain any information disclosed pursuant to this </w:t>
      </w:r>
      <w:r>
        <w:rPr>
          <w:rFonts w:ascii="Times New Roman" w:cs="Times New Roman" w:eastAsia="Times New Roman" w:hAnsi="Times New Roman"/>
          <w:sz w:val="18"/>
          <w:szCs w:val="18"/>
          <w:u w:val="single" w:color="auto"/>
          <w:color w:val="auto"/>
        </w:rPr>
        <w:t>Section 9(h)</w:t>
      </w:r>
      <w:r>
        <w:rPr>
          <w:rFonts w:ascii="Times New Roman" w:cs="Times New Roman" w:eastAsia="Times New Roman" w:hAnsi="Times New Roman"/>
          <w:sz w:val="18"/>
          <w:szCs w:val="18"/>
          <w:color w:val="auto"/>
        </w:rPr>
        <w:t xml:space="preserve"> in confidence until such information is publicly available, and shall comply with applicable law with respect to trading in the Company’s securities following receipt of any such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354965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360" w:right="339" w:bottom="1440" w:gutter="0" w:footer="0" w:header="0"/>
        </w:sectPr>
      </w:pPr>
    </w:p>
    <w:bookmarkStart w:id="36" w:name="page37"/>
    <w:bookmarkEnd w:id="36"/>
    <w:p>
      <w:pPr>
        <w:ind w:left="10300"/>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both"/>
        <w:ind w:firstLine="656"/>
        <w:spacing w:after="0" w:line="268" w:lineRule="auto"/>
        <w:tabs>
          <w:tab w:leader="none" w:pos="1318"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Payment of Exercise Price</w:t>
      </w:r>
      <w:r>
        <w:rPr>
          <w:rFonts w:ascii="Times New Roman" w:cs="Times New Roman" w:eastAsia="Times New Roman" w:hAnsi="Times New Roman"/>
          <w:sz w:val="18"/>
          <w:szCs w:val="18"/>
          <w:color w:val="auto"/>
        </w:rPr>
        <w:t>. Notwithstanding anything contained herein to the contrary, the Holder may, in its sole discretion, satisfy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 to pay the Exercise Price through a “cashless exercise”, in which event the Company shall issue to the Holder the number of Warrant Shares in an exchange of securities effected pursuant to Section 3(a)(9) of the Securities Act, as determined as follows:</w:t>
      </w:r>
    </w:p>
    <w:p>
      <w:pPr>
        <w:spacing w:after="0" w:line="17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X = Y [(A-B)/A]</w:t>
      </w:r>
    </w:p>
    <w:p>
      <w:pPr>
        <w:spacing w:after="0" w:line="22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where:</w:t>
      </w:r>
    </w:p>
    <w:p>
      <w:pPr>
        <w:spacing w:after="0" w:line="225" w:lineRule="exact"/>
        <w:rPr>
          <w:sz w:val="20"/>
          <w:szCs w:val="20"/>
          <w:color w:val="auto"/>
        </w:rPr>
      </w:pPr>
    </w:p>
    <w:p>
      <w:pPr>
        <w:ind w:left="1380"/>
        <w:spacing w:after="0"/>
        <w:tabs>
          <w:tab w:leader="none" w:pos="1800" w:val="left"/>
        </w:tabs>
        <w:rPr>
          <w:sz w:val="20"/>
          <w:szCs w:val="20"/>
          <w:color w:val="auto"/>
        </w:rPr>
      </w:pPr>
      <w:r>
        <w:rPr>
          <w:rFonts w:ascii="Times New Roman" w:cs="Times New Roman" w:eastAsia="Times New Roman" w:hAnsi="Times New Roman"/>
          <w:sz w:val="18"/>
          <w:szCs w:val="18"/>
          <w:color w:val="auto"/>
        </w:rPr>
        <w:t>“Z”</w:t>
      </w:r>
      <w:r>
        <w:rPr>
          <w:sz w:val="20"/>
          <w:szCs w:val="20"/>
          <w:color w:val="auto"/>
        </w:rPr>
        <w:tab/>
      </w:r>
      <w:r>
        <w:rPr>
          <w:rFonts w:ascii="Times New Roman" w:cs="Times New Roman" w:eastAsia="Times New Roman" w:hAnsi="Times New Roman"/>
          <w:sz w:val="17"/>
          <w:szCs w:val="17"/>
          <w:color w:val="auto"/>
        </w:rPr>
        <w:t>equals the number of Warrant Shares to be issued to the Holder;</w:t>
      </w:r>
    </w:p>
    <w:p>
      <w:pPr>
        <w:spacing w:after="0" w:line="225" w:lineRule="exact"/>
        <w:rPr>
          <w:sz w:val="20"/>
          <w:szCs w:val="20"/>
          <w:color w:val="auto"/>
        </w:rPr>
      </w:pPr>
    </w:p>
    <w:p>
      <w:pPr>
        <w:ind w:left="1380"/>
        <w:spacing w:after="0"/>
        <w:tabs>
          <w:tab w:leader="none" w:pos="1960" w:val="left"/>
        </w:tabs>
        <w:rPr>
          <w:sz w:val="20"/>
          <w:szCs w:val="20"/>
          <w:color w:val="auto"/>
        </w:rPr>
      </w:pPr>
      <w:r>
        <w:rPr>
          <w:rFonts w:ascii="Times New Roman" w:cs="Times New Roman" w:eastAsia="Times New Roman" w:hAnsi="Times New Roman"/>
          <w:sz w:val="18"/>
          <w:szCs w:val="18"/>
          <w:color w:val="auto"/>
        </w:rPr>
        <w:t>“AA”</w:t>
      </w:r>
      <w:r>
        <w:rPr>
          <w:sz w:val="20"/>
          <w:szCs w:val="20"/>
          <w:color w:val="auto"/>
        </w:rPr>
        <w:tab/>
      </w:r>
      <w:r>
        <w:rPr>
          <w:rFonts w:ascii="Times New Roman" w:cs="Times New Roman" w:eastAsia="Times New Roman" w:hAnsi="Times New Roman"/>
          <w:sz w:val="17"/>
          <w:szCs w:val="17"/>
          <w:color w:val="auto"/>
        </w:rPr>
        <w:t>equals the total number of Warrant Shares with respect to which this Warrant is then being exercised;</w:t>
      </w:r>
    </w:p>
    <w:p>
      <w:pPr>
        <w:spacing w:after="0" w:line="225" w:lineRule="exact"/>
        <w:rPr>
          <w:sz w:val="20"/>
          <w:szCs w:val="20"/>
          <w:color w:val="auto"/>
        </w:rPr>
      </w:pPr>
    </w:p>
    <w:p>
      <w:pPr>
        <w:ind w:left="720" w:firstLine="648"/>
        <w:spacing w:after="0" w:line="282" w:lineRule="auto"/>
        <w:rPr>
          <w:sz w:val="20"/>
          <w:szCs w:val="20"/>
          <w:color w:val="auto"/>
        </w:rPr>
      </w:pPr>
      <w:r>
        <w:rPr>
          <w:rFonts w:ascii="Times New Roman" w:cs="Times New Roman" w:eastAsia="Times New Roman" w:hAnsi="Times New Roman"/>
          <w:sz w:val="18"/>
          <w:szCs w:val="18"/>
          <w:color w:val="auto"/>
        </w:rPr>
        <w:t>“C” equals the Closing Sale Price of the shares of Common Stock (as reported by Bloomberg Financial Markets) as of the Trading Day on the date immediately preceding the Exercise Date; and</w:t>
      </w:r>
    </w:p>
    <w:p>
      <w:pPr>
        <w:spacing w:after="0" w:line="162" w:lineRule="exact"/>
        <w:rPr>
          <w:sz w:val="20"/>
          <w:szCs w:val="20"/>
          <w:color w:val="auto"/>
        </w:rPr>
      </w:pPr>
    </w:p>
    <w:p>
      <w:pPr>
        <w:ind w:left="1380"/>
        <w:spacing w:after="0"/>
        <w:tabs>
          <w:tab w:leader="none" w:pos="182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7"/>
          <w:szCs w:val="17"/>
          <w:color w:val="auto"/>
        </w:rPr>
        <w:t>equals the Exercise Price then in effect for the applicable Warrant Shares at the time of such exercise.</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purposes of Rule 144 promulgated under the Securities Act, it is intended, understood and acknowledged that the Warrant Shares issued in a “cashless exercise” transaction shall be deemed to have been acquired by the Holder, and the holding period for the Warrant Shares shall be deemed to have commenced, on the date this Warrant was originally issued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Commission continues to take the position that such treatment is proper at the time of such exercise). In the event that a registration statement registering the issuance of Warrant Shares is, for any reason, not effective at the time of exercise of this Warrant, then the Warrant may only be exercised through a cashless exercise, as set forth in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If the Warrant Shares are issued in such a cashless exercise, the Company acknowledges and agrees that, in accordance with Section 3(a)(9) of the Securities Act, the Exercise Shares issued in such exercise shall take on the registered characteristics of the Warrants being exercised and may be tacked on to the holding period of the Warrants being exercised. Except as set forth in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(Buy-In remedy) and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(payment of cash in lieu of fractional shares), in no event will the exercise of this Warrant be settled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7" w:name="page38"/>
    <w:bookmarkEnd w:id="37"/>
    <w:p>
      <w:pPr>
        <w:ind w:left="9644"/>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ind w:left="404" w:hanging="404"/>
        <w:spacing w:after="0"/>
        <w:tabs>
          <w:tab w:leader="none" w:pos="404"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Limitations on Exercise</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left="-656" w:firstLine="980"/>
        <w:spacing w:after="0" w:line="251" w:lineRule="auto"/>
        <w:tabs>
          <w:tab w:leader="none" w:pos="746"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the Company shall not effect the exercise of any portion of this Warrant, and the Holder of the Warrant shall not have the right to exercise any portion of the Warrant, and any such exercise shall be null and void ab initio and treated as if the exercise had not been made, to the extent that immediately prior to or following such exercise, the Holder, together with the Attribution Parties, beneficially owns or would beneficially own as determined in accordance with Section 13(d) of the Exchange Act and the rules promulgated thereunder, in excess of 4.99% (the “</w:t>
      </w:r>
      <w:r>
        <w:rPr>
          <w:rFonts w:ascii="Times New Roman" w:cs="Times New Roman" w:eastAsia="Times New Roman" w:hAnsi="Times New Roman"/>
          <w:sz w:val="18"/>
          <w:szCs w:val="18"/>
          <w:b w:val="1"/>
          <w:bCs w:val="1"/>
          <w:i w:val="1"/>
          <w:iCs w:val="1"/>
          <w:color w:val="auto"/>
        </w:rPr>
        <w:t>Maximum Percentage</w:t>
      </w:r>
      <w:r>
        <w:rPr>
          <w:rFonts w:ascii="Times New Roman" w:cs="Times New Roman" w:eastAsia="Times New Roman" w:hAnsi="Times New Roman"/>
          <w:sz w:val="18"/>
          <w:szCs w:val="18"/>
          <w:color w:val="auto"/>
        </w:rPr>
        <w:t xml:space="preserve">”) of the Common Stock that would be issued and outstanding following such exercise. For purposes of calculating beneficial ownership for determining whether the Maximum Percentage is or will be exceeded, the aggregate number of shares of Common Stock held and/or beneficially owned by the Holder together with the Attribution Parties, shall include the number of shares of Common Stock held and/or beneficially owned by the Holder together with the Attribution Parties plus the number of shares of Common Stock issuable upon exercise of the relevant Warrant with respect to which the determination is being made but shall exclude the number of shares of Common Stock which would be issuable upon (i) exercise of the remaining, unexercised Warrant held and/or beneficially owned by the Holder or the Attribution Parties and (ii) exercise or conversion of the unexercised or unconverted portion of any other securities of the Company held and/or beneficially owned by such Holder or any Attribution Party (including, without limitation, any convertible notes, convertible stock or warrants) that are subject to a limitation on conversion or exercise analogous to the limitation contained herein. For purposes of this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beneficial ownership of the Holder or the Attribution Parties shall, except as set forth in the immediately preceding sentence, be calculated and determined in accordance with Section 13(d) of the Exchange Act and the rules promulgated thereunder. For purposes of the Warrant, in determining the number of outstanding shares of Common Stock, a Holder of the Warrant may rely on the number of outstanding shares of Common Stock as reflected in (1) the Company’s most recent Form 10-K, Form 10-Q, Form 8-K or other public filing with the Commission, as the case may be, (2) a more recent public announcement by the Company or (3) any other notice by the Company or the Transfer Agent setting forth the number of shares of Common Stock outstanding (such issued and outstanding shares, the “</w:t>
      </w:r>
      <w:r>
        <w:rPr>
          <w:rFonts w:ascii="Times New Roman" w:cs="Times New Roman" w:eastAsia="Times New Roman" w:hAnsi="Times New Roman"/>
          <w:sz w:val="18"/>
          <w:szCs w:val="18"/>
          <w:b w:val="1"/>
          <w:bCs w:val="1"/>
          <w:i w:val="1"/>
          <w:iCs w:val="1"/>
          <w:color w:val="auto"/>
        </w:rPr>
        <w:t>Reported Outstanding Share Number</w:t>
      </w:r>
      <w:r>
        <w:rPr>
          <w:rFonts w:ascii="Times New Roman" w:cs="Times New Roman" w:eastAsia="Times New Roman" w:hAnsi="Times New Roman"/>
          <w:sz w:val="18"/>
          <w:szCs w:val="18"/>
          <w:color w:val="auto"/>
        </w:rPr>
        <w:t xml:space="preserve">”). For any reason at any time, upon the written or oral request of the Holder, the Company shall within one (1) Trading Day confirm orally and in writing or by electronic mail to the Holder the number of shares of Common Stock then outstanding. The Holder shall disclose to the Company the number of shares of Common Stock that it, together with the Attribution Parties holds and/or beneficially owns and has the right to acquire through the exercise of derivative securities and any limitations on exercise or conversion analogous to the limitation contained herein contemporaneously or immediately prior to submitting an Exercise Notice for the relevant Warrant.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together with the Attribution Parties’, beneficial ownership, as determined pursuant to this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to exceed the Maximum Percentage, the Holder must notify the Company of a reduced number of Warrant Shares to be purchased pursuant to such Exercise Notice (the number of shares by which such purchase is reduced, the “</w:t>
      </w:r>
      <w:r>
        <w:rPr>
          <w:rFonts w:ascii="Times New Roman" w:cs="Times New Roman" w:eastAsia="Times New Roman" w:hAnsi="Times New Roman"/>
          <w:sz w:val="18"/>
          <w:szCs w:val="18"/>
          <w:b w:val="1"/>
          <w:bCs w:val="1"/>
          <w:i w:val="1"/>
          <w:iCs w:val="1"/>
          <w:color w:val="auto"/>
        </w:rPr>
        <w:t>Reduction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and (ii) as soon as reasonably practicable, the Company shall return to the Holder any exercise price paid by the Holder for the Reduction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any case, the number of outstanding shares of Common Stock shall be determined after giving effect to the conversion or exercise of securities of the Company, including this Warrant, by the Holder and the Attribution Parties since the date as of which the Reported Outstanding Share Number was reported. In the event that the issuance of Common Stock to the Holder upon exercise of this Warrant results in the Holder, together with the Attribution Parties, being deemed to beneficially own, in the aggregate, more than the Maximum Percentage of the number of outstanding shares of Common Stock (as determined under Section 13(d) of the Exchange Act), the number of shares so issued by which the Holder’s, together with the Attribution Parties’, aggregate beneficial ownership exceeds the Maximum Percentage (the “</w:t>
      </w:r>
      <w:r>
        <w:rPr>
          <w:rFonts w:ascii="Times New Roman" w:cs="Times New Roman" w:eastAsia="Times New Roman" w:hAnsi="Times New Roman"/>
          <w:sz w:val="18"/>
          <w:szCs w:val="18"/>
          <w:b w:val="1"/>
          <w:bCs w:val="1"/>
          <w:i w:val="1"/>
          <w:iCs w:val="1"/>
          <w:color w:val="auto"/>
        </w:rPr>
        <w:t>Excess Shares</w:t>
      </w:r>
      <w:r>
        <w:rPr>
          <w:rFonts w:ascii="Times New Roman" w:cs="Times New Roman" w:eastAsia="Times New Roman" w:hAnsi="Times New Roman"/>
          <w:sz w:val="18"/>
          <w:szCs w:val="18"/>
          <w:color w:val="auto"/>
        </w:rPr>
        <w:t xml:space="preserve">”) shall be deemed null and void and shall be cancelled ab initio, and the Holder and/or the Attribution Parties shall not have the power to vote or to transfer the Excess Shares. As soon as reasonably practicable after the issuance of the Excess Shares has been deemed null and void, the Company shall return to the Holder the exercise price paid by the Holder for the Excess Shares. By written notice to the Company, a Holder of the Warrant may from time to time increase or decrease the Maximum Percentage to any other percentage not in excess of 9.99% specified in such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increase in the Maximum Percentage will not be effective until the sixty-first (61st) day after such notice is delivered to the Company and shall not negatively affect any partial exercise effected prior to such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360045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60" w:right="339" w:bottom="1440" w:gutter="0" w:footer="0" w:header="0"/>
        </w:sectPr>
      </w:pPr>
    </w:p>
    <w:bookmarkStart w:id="38" w:name="page39"/>
    <w:bookmarkEnd w:id="38"/>
    <w:p>
      <w:pPr>
        <w:ind w:left="9572"/>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both"/>
        <w:ind w:left="-728" w:firstLine="980"/>
        <w:spacing w:after="0" w:line="253" w:lineRule="auto"/>
        <w:tabs>
          <w:tab w:leader="none" w:pos="757"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not restrict the number of shares of Common Stock which a Holder or the Attribution Parties may receive or beneficially own in order to determine the amount of securities or other consideration that such Holder or the Attribution Parties may receive in the event of a Fundamental Transaction as contemplated in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color w:val="auto"/>
        </w:rPr>
        <w:t xml:space="preserve"> of this Warrant. For purposes of clarity, the shares of Common Stock issuable pursuant to the terms of this Warrant in excess of the Maximum Percentage shall not be deemed to be beneficially owned by the Holder or the Attribution Parties for any purpose including for purposes of Section 13(d) of the Exchange Act and the rules promulgated thereunder or Section 16 of the Exchange Act and the rules promulgated thereunder, including Rule 16a-1(a)(1).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to the extent necessary to correct this paragraph or any portion of this paragraph which may be defective or inconsistent with the intended beneficial ownership limitation contained in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or to make changes or supplements necessary or desirable to properly give effect to such limitation. The limitation contained in this paragraph may not be waived and shall apply to a successor holder of this Warrant.</w:t>
      </w:r>
    </w:p>
    <w:p>
      <w:pPr>
        <w:spacing w:after="0" w:line="187" w:lineRule="exact"/>
        <w:rPr>
          <w:rFonts w:ascii="Times New Roman" w:cs="Times New Roman" w:eastAsia="Times New Roman" w:hAnsi="Times New Roman"/>
          <w:sz w:val="18"/>
          <w:szCs w:val="18"/>
          <w:color w:val="auto"/>
        </w:rPr>
      </w:pPr>
    </w:p>
    <w:p>
      <w:pPr>
        <w:jc w:val="both"/>
        <w:ind w:left="-728" w:firstLine="728"/>
        <w:spacing w:after="0" w:line="268" w:lineRule="auto"/>
        <w:tabs>
          <w:tab w:leader="none" w:pos="397"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Fractional Shares</w:t>
      </w:r>
      <w:r>
        <w:rPr>
          <w:rFonts w:ascii="Times New Roman" w:cs="Times New Roman" w:eastAsia="Times New Roman" w:hAnsi="Times New Roman"/>
          <w:sz w:val="18"/>
          <w:szCs w:val="18"/>
          <w:color w:val="auto"/>
        </w:rPr>
        <w:t>. No fractional Warrant Shares will be issued in connection with any exercise of this Warrant. In lieu of any fractional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that would otherwise be issuable, the number of Warrant Shares to be issued shall be rounded down to the next whole number and the Company shall pay the Holder in cash the fair market value (based on the Closing Sale Price) for any such fractional shares.</w:t>
      </w:r>
    </w:p>
    <w:p>
      <w:pPr>
        <w:spacing w:after="0" w:line="170" w:lineRule="exact"/>
        <w:rPr>
          <w:rFonts w:ascii="Times New Roman" w:cs="Times New Roman" w:eastAsia="Times New Roman" w:hAnsi="Times New Roman"/>
          <w:sz w:val="18"/>
          <w:szCs w:val="18"/>
          <w:b w:val="1"/>
          <w:bCs w:val="1"/>
          <w:color w:val="auto"/>
        </w:rPr>
      </w:pPr>
    </w:p>
    <w:p>
      <w:pPr>
        <w:jc w:val="both"/>
        <w:ind w:left="-728" w:firstLine="728"/>
        <w:spacing w:after="0" w:line="256" w:lineRule="auto"/>
        <w:tabs>
          <w:tab w:leader="none" w:pos="424"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Any and all notices or other communications or deliveries hereunder (including, without limitation, any Exercise Notice)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writing and shall be deemed given and effective on the earliest of (i) the date of transmission, if such notice or communication is delivered confirmed e-mail at the e-mail address specified in the books and records of the Transfer Agent prior to 5:30 P.M., New York City time, on a Trading Day, (ii) the next Trading Day after the date of transmission, if such notice or communication is delivered via confirmed e-mail at the e-mail address specified in the books and records of the Transfer Agent on a day that is not a Trading Day or later than 5:30 P.M., New York City time, on any Trading Day, (iii) the Trading Day following the date of mailing, if sent by nationally recognized overnight courier service specifying next business day delivery, or (iv) upon actual receipt by the Person to whom such notice is required to be given, if by hand delivery.</w:t>
      </w:r>
    </w:p>
    <w:p>
      <w:pPr>
        <w:spacing w:after="0" w:line="182" w:lineRule="exact"/>
        <w:rPr>
          <w:rFonts w:ascii="Times New Roman" w:cs="Times New Roman" w:eastAsia="Times New Roman" w:hAnsi="Times New Roman"/>
          <w:sz w:val="18"/>
          <w:szCs w:val="18"/>
          <w:b w:val="1"/>
          <w:bCs w:val="1"/>
          <w:color w:val="auto"/>
        </w:rPr>
      </w:pPr>
    </w:p>
    <w:p>
      <w:pPr>
        <w:jc w:val="both"/>
        <w:ind w:left="-648" w:firstLine="648"/>
        <w:spacing w:after="0" w:line="257" w:lineRule="auto"/>
        <w:tabs>
          <w:tab w:leader="none" w:pos="432"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Warrant Agent</w:t>
      </w:r>
      <w:r>
        <w:rPr>
          <w:rFonts w:ascii="Times New Roman" w:cs="Times New Roman" w:eastAsia="Times New Roman" w:hAnsi="Times New Roman"/>
          <w:sz w:val="18"/>
          <w:szCs w:val="18"/>
          <w:color w:val="auto"/>
        </w:rPr>
        <w:t>. The Company shall serve as warrant agent under this Warrant. Upon thirty (30) days’ notice to the Holder,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352425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12"/>
          </w:cols>
          <w:pgMar w:left="1048" w:top="360" w:right="339" w:bottom="1440" w:gutter="0" w:footer="0" w:header="0"/>
        </w:sectPr>
      </w:pPr>
    </w:p>
    <w:bookmarkStart w:id="39" w:name="page40"/>
    <w:bookmarkEnd w:id="39"/>
    <w:p>
      <w:pPr>
        <w:ind w:left="9644"/>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ind w:left="404" w:hanging="404"/>
        <w:spacing w:after="0"/>
        <w:tabs>
          <w:tab w:leader="none" w:pos="404"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left="-656" w:firstLine="980"/>
        <w:spacing w:after="0" w:line="254" w:lineRule="auto"/>
        <w:tabs>
          <w:tab w:leader="none" w:pos="695"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a Stockholder</w:t>
      </w:r>
      <w:r>
        <w:rPr>
          <w:rFonts w:ascii="Times New Roman" w:cs="Times New Roman" w:eastAsia="Times New Roman" w:hAnsi="Times New Roman"/>
          <w:sz w:val="18"/>
          <w:szCs w:val="18"/>
          <w:color w:val="auto"/>
        </w:rPr>
        <w:t>. Except as otherwise set forth in this Warrant,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w:t>
      </w:r>
    </w:p>
    <w:p>
      <w:pPr>
        <w:spacing w:after="0" w:line="188" w:lineRule="exact"/>
        <w:rPr>
          <w:rFonts w:ascii="Times New Roman" w:cs="Times New Roman" w:eastAsia="Times New Roman" w:hAnsi="Times New Roman"/>
          <w:sz w:val="18"/>
          <w:szCs w:val="18"/>
          <w:color w:val="auto"/>
        </w:rPr>
      </w:pPr>
    </w:p>
    <w:p>
      <w:pPr>
        <w:ind w:left="704" w:hanging="380"/>
        <w:spacing w:after="0"/>
        <w:tabs>
          <w:tab w:leader="none" w:pos="70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56" w:firstLine="1304"/>
        <w:spacing w:after="0" w:line="254" w:lineRule="auto"/>
        <w:tabs>
          <w:tab w:leader="none" w:pos="1113"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or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(a) not increase the par value of any Warrant Shares above the amount payable therefor upon such exercise immediately prior to such increase in par value, (b) take all such action as may be necessary or appropriate in order that the Company may validly and legally issue fully paid and non-assessable Warrant Shares upon the exercise of this Warrant, and (c)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88" w:lineRule="exact"/>
        <w:rPr>
          <w:rFonts w:ascii="Times New Roman" w:cs="Times New Roman" w:eastAsia="Times New Roman" w:hAnsi="Times New Roman"/>
          <w:sz w:val="18"/>
          <w:szCs w:val="18"/>
          <w:color w:val="auto"/>
        </w:rPr>
      </w:pPr>
    </w:p>
    <w:p>
      <w:pPr>
        <w:jc w:val="both"/>
        <w:ind w:left="-656" w:firstLine="1304"/>
        <w:spacing w:after="0" w:line="266" w:lineRule="auto"/>
        <w:tabs>
          <w:tab w:leader="none" w:pos="1044"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75" w:lineRule="exact"/>
        <w:rPr>
          <w:rFonts w:ascii="Times New Roman" w:cs="Times New Roman" w:eastAsia="Times New Roman" w:hAnsi="Times New Roman"/>
          <w:sz w:val="18"/>
          <w:szCs w:val="18"/>
          <w:color w:val="auto"/>
        </w:rPr>
      </w:pPr>
    </w:p>
    <w:p>
      <w:pPr>
        <w:jc w:val="both"/>
        <w:ind w:left="-656" w:firstLine="980"/>
        <w:spacing w:after="0" w:line="256" w:lineRule="auto"/>
        <w:tabs>
          <w:tab w:leader="none" w:pos="803"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compliance with applicable securities laws, this Warrant may be assigned by the Holder. This Warrant may not be assigned by the Company without the written consent of the Holder, except to a successor in the event of a Fundamental Transaction.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 This Warrant may be amended only in writing signed by the Company and the Holder, or their successors and assigns.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353695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60" w:right="339" w:bottom="1440" w:gutter="0" w:footer="0" w:header="0"/>
        </w:sectPr>
      </w:pPr>
    </w:p>
    <w:bookmarkStart w:id="40" w:name="page41"/>
    <w:bookmarkEnd w:id="40"/>
    <w:p>
      <w:pPr>
        <w:ind w:left="10300"/>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both"/>
        <w:ind w:firstLine="980"/>
        <w:spacing w:after="0" w:line="266" w:lineRule="auto"/>
        <w:tabs>
          <w:tab w:leader="none" w:pos="138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Except as otherwise provided herein, the provisions of the Warrants may be amended and the Company may take any action herein prohibited, or omit to perform any act herein required to be performed by it, only if the Company has obtained the written consent of the Holder.</w:t>
      </w:r>
    </w:p>
    <w:p>
      <w:pPr>
        <w:spacing w:after="0" w:line="175"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Acceptance</w:t>
      </w:r>
      <w:r>
        <w:rPr>
          <w:rFonts w:ascii="Times New Roman" w:cs="Times New Roman" w:eastAsia="Times New Roman" w:hAnsi="Times New Roman"/>
          <w:sz w:val="18"/>
          <w:szCs w:val="18"/>
          <w:color w:val="auto"/>
        </w:rPr>
        <w:t>. Receipt of this Warrant by the Holder shall constitute acceptance of and agreement to all of the terms and conditions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contained herein.</w:t>
      </w:r>
    </w:p>
    <w:p>
      <w:pPr>
        <w:spacing w:after="0" w:line="206" w:lineRule="exact"/>
        <w:rPr>
          <w:rFonts w:ascii="Times New Roman" w:cs="Times New Roman" w:eastAsia="Times New Roman" w:hAnsi="Times New Roman"/>
          <w:sz w:val="18"/>
          <w:szCs w:val="18"/>
          <w:color w:val="auto"/>
        </w:rPr>
      </w:pPr>
    </w:p>
    <w:p>
      <w:pPr>
        <w:jc w:val="both"/>
        <w:ind w:firstLine="980"/>
        <w:spacing w:after="0" w:line="269" w:lineRule="auto"/>
        <w:tabs>
          <w:tab w:leader="none" w:pos="1359"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Governing Law; Jurisdiction</w:t>
      </w:r>
      <w:r>
        <w:rPr>
          <w:rFonts w:ascii="Times New Roman" w:cs="Times New Roman" w:eastAsia="Times New Roman" w:hAnsi="Times New Roman"/>
          <w:sz w:val="17"/>
          <w:szCs w:val="17"/>
          <w:color w:val="auto"/>
        </w:rPr>
        <w:t>. This Warrant shall be governed by and interpreted in accordance with the substantive laws of the State of New York, without regard to its or any other jurisdiction’s choice of law rules. Any and all disputes arising out of, concerning, or related to this Warrant, or to the construction, validity, enforcement and interpretation thereof, shall be referred to and resolved by the federal courts located in New York, New York or, to the extent no such court has subject matter jurisdiction, the state courts of the State of New York located in New York, New York (the “</w:t>
      </w:r>
      <w:r>
        <w:rPr>
          <w:rFonts w:ascii="Times New Roman" w:cs="Times New Roman" w:eastAsia="Times New Roman" w:hAnsi="Times New Roman"/>
          <w:sz w:val="17"/>
          <w:szCs w:val="17"/>
          <w:b w:val="1"/>
          <w:bCs w:val="1"/>
          <w:i w:val="1"/>
          <w:iCs w:val="1"/>
          <w:color w:val="auto"/>
        </w:rPr>
        <w:t>Specified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Courts</w:t>
      </w:r>
      <w:r>
        <w:rPr>
          <w:rFonts w:ascii="Times New Roman" w:cs="Times New Roman" w:eastAsia="Times New Roman" w:hAnsi="Times New Roman"/>
          <w:sz w:val="17"/>
          <w:szCs w:val="17"/>
          <w:color w:val="auto"/>
        </w:rPr>
        <w:t>”). Each of the Company and the Holder irrevocably and unconditionally submits to the exclusive jurisdiction of the Specified Courts, waives any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objection to the laying of venue of any suit, action or proceeding brought in such courts and waives any claim that any such suit, action or proceeding brought in any such court has been brought in an inconvenient forum. EACH OF THE COMPANY AND THE HOLDER HEREBY WAIVES ITS RIGHTS TO A JURY TRIAL OF ANY CLAIM OR CAUSE OF ACTION BASED UPON OR ARISING OUT OF THIS WARRANT. THE SCOPE OF THIS WAIVER IS INTENDED TO BE ALL-ENCOMPASSING OF ANY AND ALL DISPUTES THAT MAY BE FILED IN ANY COURT AND THAT RELATE TO THIS WARRANT. THIS SECTION HAS BEEN FULLY DISCUSSED BY EACH OF THE COMPANY AND THE HOLDER AND THESE PROVISIONS WILL NOT BE SUBJECT TO ANY EXCEPTIONS. EACH OF THE COMPANY AND THE HOLDER HEREBY FURTHER WARRANTS AND REPRESENTS THAT SUCH PARTY HAS REVIEWED THIS WAIVER WITH ITS LEGAL COUNSEL, AND THAT SUCH PARTY KNOWINGLY AND VOLUNTARILY WAIVES ITS JURY TRIAL RIGHTS FOLLOWING CONSULTATION WITH LEGAL COUNSEL.</w:t>
      </w:r>
    </w:p>
    <w:p>
      <w:pPr>
        <w:spacing w:after="0" w:line="175" w:lineRule="exact"/>
        <w:rPr>
          <w:rFonts w:ascii="Times New Roman" w:cs="Times New Roman" w:eastAsia="Times New Roman" w:hAnsi="Times New Roman"/>
          <w:sz w:val="17"/>
          <w:szCs w:val="17"/>
          <w:color w:val="auto"/>
        </w:rPr>
      </w:pPr>
    </w:p>
    <w:p>
      <w:pPr>
        <w:ind w:firstLine="980"/>
        <w:spacing w:after="0" w:line="282" w:lineRule="auto"/>
        <w:tabs>
          <w:tab w:leader="none" w:pos="141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Warrant and shall not be deemed to limit or affect any of the provisions hereof.</w:t>
      </w:r>
    </w:p>
    <w:p>
      <w:pPr>
        <w:spacing w:after="0" w:line="161" w:lineRule="exact"/>
        <w:rPr>
          <w:rFonts w:ascii="Times New Roman" w:cs="Times New Roman" w:eastAsia="Times New Roman" w:hAnsi="Times New Roman"/>
          <w:sz w:val="18"/>
          <w:szCs w:val="18"/>
          <w:color w:val="auto"/>
        </w:rPr>
      </w:pPr>
    </w:p>
    <w:p>
      <w:pPr>
        <w:ind w:left="1360" w:hanging="380"/>
        <w:spacing w:after="0"/>
        <w:tabs>
          <w:tab w:leader="none" w:pos="13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case any one or more of the provisions of this Warrant shall</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 invalid or unenforceable in any respect, the validity and enforceability of the remaining terms and provisions of this Warrant shall not in any way be affected or impaired thereby, and the Company and the Holder will attempt in good faith to agree upon a valid and enforceable provision which shall be a commercially reasonable substitute therefor, and upon so agreeing, shall incorporate such substitute provision in this Warrant.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1" w:name="page42"/>
    <w:bookmarkEnd w:id="41"/>
    <w:p>
      <w:pPr>
        <w:ind w:left="9640"/>
        <w:spacing w:after="0"/>
        <w:rPr>
          <w:sz w:val="20"/>
          <w:szCs w:val="20"/>
          <w:color w:val="auto"/>
        </w:rPr>
      </w:pPr>
      <w:r>
        <w:rPr>
          <w:rFonts w:ascii="Times New Roman" w:cs="Times New Roman" w:eastAsia="Times New Roman" w:hAnsi="Times New Roman"/>
          <w:sz w:val="17"/>
          <w:szCs w:val="17"/>
          <w:b w:val="1"/>
          <w:bCs w:val="1"/>
          <w:color w:val="auto"/>
        </w:rPr>
        <w:t>EXHIBIT B</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Company has caused this Warrant to be duly executed by its authorized officer as of the date first indicated above.</w:t>
      </w:r>
    </w:p>
    <w:p>
      <w:pPr>
        <w:spacing w:after="0" w:line="200" w:lineRule="exact"/>
        <w:rPr>
          <w:sz w:val="20"/>
          <w:szCs w:val="20"/>
          <w:color w:val="auto"/>
        </w:rPr>
      </w:pP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CERVOMED INC.</w:t>
      </w:r>
    </w:p>
    <w:p>
      <w:pPr>
        <w:spacing w:after="0" w:line="200" w:lineRule="exact"/>
        <w:rPr>
          <w:sz w:val="20"/>
          <w:szCs w:val="20"/>
          <w:color w:val="auto"/>
        </w:rPr>
      </w:pPr>
    </w:p>
    <w:p>
      <w:pPr>
        <w:spacing w:after="0" w:line="24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17145</wp:posOffset>
            </wp:positionV>
            <wp:extent cx="24942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jc w:val="center"/>
        <w:ind w:left="10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365760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360" w:right="359" w:bottom="1440" w:gutter="0" w:footer="0" w:header="0"/>
        </w:sectPr>
      </w:pPr>
    </w:p>
    <w:bookmarkStart w:id="42" w:name="page43"/>
    <w:bookmarkEnd w:id="42"/>
    <w:p>
      <w:pPr>
        <w:ind w:left="10300"/>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EXERCISE NOTICE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executed by the Holder to purchase shares of Common Stock under the Warrant]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left="660" w:hanging="652"/>
        <w:spacing w:after="0" w:line="286"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undersigned is the Holder of Warrant No. [ • ] (the “Warrant”) issued by </w:t>
      </w:r>
      <w:r>
        <w:rPr>
          <w:rFonts w:ascii="Times New Roman" w:cs="Times New Roman" w:eastAsia="Times New Roman" w:hAnsi="Times New Roman"/>
          <w:sz w:val="18"/>
          <w:szCs w:val="18"/>
          <w:b w:val="1"/>
          <w:bCs w:val="1"/>
          <w:color w:val="auto"/>
        </w:rPr>
        <w:t>CERVOMED INC.</w:t>
      </w:r>
      <w:r>
        <w:rPr>
          <w:rFonts w:ascii="Times New Roman" w:cs="Times New Roman" w:eastAsia="Times New Roman" w:hAnsi="Times New Roman"/>
          <w:sz w:val="18"/>
          <w:szCs w:val="18"/>
          <w:color w:val="auto"/>
        </w:rPr>
        <w:t>,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Capitalized terms used herein and not otherwise defined herein have the respective meanings set forth in the Warrant.</w:t>
      </w:r>
    </w:p>
    <w:p>
      <w:pPr>
        <w:spacing w:after="0" w:line="15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exercises its right to purchase Warrant Shares pursuant to the Warrant.</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intends that payment of the Exercise Price shall be made as (check one):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Cash Exercise</w:t>
      </w:r>
    </w:p>
    <w:p>
      <w:pPr>
        <w:spacing w:after="0" w:line="252" w:lineRule="exact"/>
        <w:rPr>
          <w:rFonts w:ascii="MS PGothic" w:cs="MS PGothic" w:eastAsia="MS PGothic" w:hAnsi="MS PGothic"/>
          <w:sz w:val="18"/>
          <w:szCs w:val="18"/>
          <w:color w:val="auto"/>
        </w:rPr>
      </w:pPr>
    </w:p>
    <w:p>
      <w:pPr>
        <w:ind w:left="1960" w:hanging="656"/>
        <w:spacing w:after="0"/>
        <w:tabs>
          <w:tab w:leader="none" w:pos="1960" w:val="left"/>
        </w:tabs>
        <w:numPr>
          <w:ilvl w:val="1"/>
          <w:numId w:val="4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“Cashless Exercise” under Section 10 of the Warrant</w:t>
      </w:r>
    </w:p>
    <w:p>
      <w:pPr>
        <w:spacing w:after="0" w:line="252" w:lineRule="exact"/>
        <w:rPr>
          <w:rFonts w:ascii="MS PGothic" w:cs="MS PGothic" w:eastAsia="MS PGothic" w:hAnsi="MS PGothic"/>
          <w:sz w:val="18"/>
          <w:szCs w:val="18"/>
          <w:color w:val="auto"/>
        </w:rPr>
      </w:pPr>
    </w:p>
    <w:p>
      <w:pPr>
        <w:ind w:left="660" w:right="20" w:hanging="652"/>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Holder has elected a Cash Exercise, the Holder shall pay the sum of $[ • ] in immediately available funds to the Company in accordance with the terms of the Warrant.</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this Exercise Notice, the Company shall deliver to the Holder Warrant Shares determined in accordance with the terms of the Warrant.</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its delivery of this Exercise Notice, the undersigned represents and warrants to the Company that in giving effect to the exercise evidenced hereby the Holder will not beneficially own in excess of the number of shares of Common Stock (as determined in accordance with Section 13(d) of the Securities Exchange Act of 1934, as amended) permitted to be owned under Section 11(a) of the Warrant to which this notice relates.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17145</wp:posOffset>
            </wp:positionV>
            <wp:extent cx="24942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17145</wp:posOffset>
            </wp:positionV>
            <wp:extent cx="24942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 must conform in all respects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name of Holder as specified on the face of the Warrant)</w:t>
      </w:r>
    </w:p>
    <w:p>
      <w:pPr>
        <w:sectPr>
          <w:pgSz w:w="11900" w:h="16838" w:orient="portrait"/>
          <w:cols w:equalWidth="0" w:num="1">
            <w:col w:w="11240"/>
          </w:cols>
          <w:pgMar w:left="320" w:top="360"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One Financial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-119380</wp:posOffset>
            </wp:positionV>
            <wp:extent cx="788670" cy="9944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88670" cy="994410"/>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Boston, MA 02111</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212 935 3000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mintz.com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18,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CervoMed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 Park Plaza, Suite 424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 02116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have acted as counsel to CervoMed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preparation and filing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of a Prospectus Supplement, dated June 18, 2026, to a Prospectus, dated October 10, 2024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and Prospectus Supplement</w:t>
      </w:r>
      <w:r>
        <w:rPr>
          <w:rFonts w:ascii="Times New Roman" w:cs="Times New Roman" w:eastAsia="Times New Roman" w:hAnsi="Times New Roman"/>
          <w:sz w:val="18"/>
          <w:szCs w:val="18"/>
          <w:color w:val="auto"/>
        </w:rPr>
        <w:t>”), filed pursuant to a Registration Statement on Form S-3, Registration No. 333-282494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and filed by the Company with the Commission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The Prospectus Supplement relates to the sale of 2,500,000 shares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the Company’s common stock, $0.001 par value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pursuant to a Securities Purchase Agreement, dated June 18, 2026, between the Company and the purchasers named therein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The form of Purchase Agreement will be filed as an exhibit to a Current Report on Form 8-K and incorporated by reference into the Registration Statement. This opinion is being rendered in connection with the filing of the Prospectus Supplement with the Commission. All capitalized terms used herein and not otherwise defined shall have the respective meanings given to them in the Registration Statement.</w:t>
      </w:r>
    </w:p>
    <w:p>
      <w:pPr>
        <w:spacing w:after="0" w:line="188"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In connection with this opinion, we have (i) examined and relied upon: (A) the Registration Statement, the Prospectus and the Prospectus Supplement, (B) the Company’s Certificate of Incorporation, as amended, and Bylaws, as amended, each as currently in effect, and (C) the originals or copies certified to our satisfaction of such records, documents, certificates, memoranda and other instruments as in our judgment are necessary or appropriate to enable us to render the opinion expressed below; and (ii) assumed that the Shares to be sold by the Company will be sold at a price and on terms established by the Board of Directors of the Company or a duly constituted pricing committee thereof in accordance with Section 153 of the Delaware General Corporation Law. As to certain factual matters, we have relied upon a certificate of an officer of the Company and have not independently verified such matters. In rendering this opinion, we have assumed the genuineness and authenticity of all signatures on signed documents;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where due authorization, execution and delivery are a prerequisite to the effectiveness thereof (except we have not made such assumption with respect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MINTZ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6691630</wp:posOffset>
            </wp:positionH>
            <wp:positionV relativeFrom="paragraph">
              <wp:posOffset>-116840</wp:posOffset>
            </wp:positionV>
            <wp:extent cx="445770" cy="548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45770" cy="54864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18,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opinion is limited to the General Corporation Law of the State of Delaware and we express no opinion with respect to the laws of any other jurisdiction. No opinion is expressed herein with respect to the qualification of the Shares under the securities or blue sky laws of any state or any foreign jurisdiction.</w:t>
      </w:r>
    </w:p>
    <w:p>
      <w:pPr>
        <w:spacing w:after="0" w:line="17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On the basis of the foregoing, and in reliance thereon, we are of the opinion that the Shares, when sold and issued in accordance with the Registration Statement, the Prospectus and the Prospectus Supplement, will be validly issued, fully paid and nonassessable.</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a Current Report on Form 8-K in accordance with the requirements of Item 601(b)(5) of Regulation S-K under the Securities Act and to the use of this Firm’s name therein and in the Prospectus Supplement under the caption “Legal Matters.” In giving such consent, we do not hereby admit that we are in the category of persons whose consent is required under Section 7 of the Securities Act or the rules and regulations of the Commission.</w:t>
      </w:r>
    </w:p>
    <w:p>
      <w:pPr>
        <w:spacing w:after="0" w:line="18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u w:val="single" w:color="auto"/>
          <w:color w:val="auto"/>
        </w:rPr>
        <w:t>/s/ Mintz, Levin, Cohn, Ferris, Glovsky and Popeo, P.C.</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Mintz, Levin, Cohn, Ferris, Glovsky and</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Popeo, P.C.</w:t>
      </w:r>
    </w:p>
    <w:p>
      <w:pPr>
        <w:sectPr>
          <w:pgSz w:w="11900" w:h="16838" w:orient="portrait"/>
          <w:cols w:equalWidth="0" w:num="1">
            <w:col w:w="11180"/>
          </w:cols>
          <w:pgMar w:left="320" w:top="360" w:right="399" w:bottom="1440" w:gutter="0" w:footer="0" w:header="0"/>
        </w:sectPr>
      </w:pPr>
    </w:p>
    <w:bookmarkStart w:id="45" w:name="page46"/>
    <w:bookmarkEnd w:id="45"/>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Securities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as of June 18, 2026, between CervoMed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purchaser identified on the signature pages hereto (each, including its successors and assigns,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subject to the terms and conditions set forth in this Agreement and pursuant to an effective registration statement under the Securities Act (as defined below), the Company desires to issue and sell to each Purchaser, and each Purchaser, severally and not jointly, desires to purchase from the Company, securities of the Company as more fully described in this Agreement.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Agreement, for all purposes of this Agreement, the following terms have the meanings set forth in this Section 1.1:</w:t>
      </w:r>
    </w:p>
    <w:p>
      <w:pPr>
        <w:spacing w:after="0" w:line="16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shall have the meaning ascribed to such term in Section 4.5.</w:t>
      </w:r>
    </w:p>
    <w:p>
      <w:pPr>
        <w:spacing w:after="0" w:line="22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shall have the meaning ascribed to such term in Section 3.1(j).</w:t>
      </w:r>
    </w:p>
    <w:p>
      <w:pPr>
        <w:spacing w:after="0" w:line="225" w:lineRule="exact"/>
        <w:rPr>
          <w:sz w:val="20"/>
          <w:szCs w:val="20"/>
          <w:color w:val="auto"/>
        </w:rPr>
      </w:pPr>
    </w:p>
    <w:p>
      <w:pPr>
        <w:jc w:val="both"/>
        <w:ind w:left="660" w:firstLine="3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ind w:left="660" w:firstLine="3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18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means the closing of the purchase and sale of the Securities pursuant to Section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jc w:val="both"/>
        <w:ind w:firstLine="396"/>
        <w:spacing w:after="0" w:line="22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Trading Day on which all of the Transaction Documents have been executed and delivered by the applicable parties thereto, and all conditions precedent to (i) the Purchasers’ obligations to pay the Subscription Amount and (ii) the Company’s obligations to deliver the Securities, in each case, have been satisfied or waived, but in no event later than the first (1st) Trading Day following the date hereof (or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Trading Day following the date hereof if this Agreement is signed on a day that is not a Trading Day or after 4:00 p.m. (New York City time) and before midnight (New York City time) on a Trading Day).</w:t>
      </w:r>
    </w:p>
    <w:p>
      <w:pPr>
        <w:spacing w:after="0" w:line="2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jc w:val="both"/>
        <w:ind w:right="20" w:firstLine="3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 par value $0.001 per share, and any other class of securities into which such securities may hereafter be reclassified or changed.</w:t>
      </w:r>
    </w:p>
    <w:p>
      <w:pPr>
        <w:spacing w:after="0" w:line="162" w:lineRule="exact"/>
        <w:rPr>
          <w:sz w:val="20"/>
          <w:szCs w:val="20"/>
          <w:color w:val="auto"/>
        </w:rPr>
      </w:pPr>
    </w:p>
    <w:p>
      <w:pPr>
        <w:jc w:val="both"/>
        <w:ind w:firstLine="3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76" w:lineRule="exact"/>
        <w:rPr>
          <w:sz w:val="20"/>
          <w:szCs w:val="20"/>
          <w:color w:val="auto"/>
        </w:rPr>
      </w:pPr>
    </w:p>
    <w:p>
      <w:pPr>
        <w:jc w:val="both"/>
        <w:ind w:firstLine="3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Counsel</w:t>
      </w:r>
      <w:r>
        <w:rPr>
          <w:rFonts w:ascii="Times New Roman" w:cs="Times New Roman" w:eastAsia="Times New Roman" w:hAnsi="Times New Roman"/>
          <w:sz w:val="18"/>
          <w:szCs w:val="18"/>
          <w:color w:val="auto"/>
        </w:rPr>
        <w:t>” means Mintz, Levin, Cohn, Ferris, Glovsky and Popeo, P.C., with offices located at One Financial Center, Boston, Massachusetts 02111.</w:t>
      </w:r>
    </w:p>
    <w:p>
      <w:pPr>
        <w:spacing w:after="0" w:line="162" w:lineRule="exact"/>
        <w:rPr>
          <w:sz w:val="20"/>
          <w:szCs w:val="20"/>
          <w:color w:val="auto"/>
        </w:rPr>
      </w:pPr>
    </w:p>
    <w:p>
      <w:pPr>
        <w:jc w:val="both"/>
        <w:ind w:firstLine="3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Time</w:t>
      </w:r>
      <w:r>
        <w:rPr>
          <w:rFonts w:ascii="Times New Roman" w:cs="Times New Roman" w:eastAsia="Times New Roman" w:hAnsi="Times New Roman"/>
          <w:sz w:val="18"/>
          <w:szCs w:val="18"/>
          <w:color w:val="auto"/>
        </w:rPr>
        <w:t>” means, (i) if this Agreement is signed on a day that is not a Trading Day or after 9:00 a.m. (New York City time) and before midnight (New York City time) on any Trading Day, 9:01 a.m. (New York City time) on the Trading Day immediately following the date hereof, unless otherwise instructed as to an earlier time by the Placement Agent, and (ii) if this Agreement is signed between midnight (New York City time) and 9:00 a.m. (New York City time) on any Trading Day, no later than 9:01 a.m. (New York City time) on the date hereof, unless otherwise instructed as to an earlier time by the Placement Agent.</w:t>
      </w:r>
    </w:p>
    <w:p>
      <w:pPr>
        <w:spacing w:after="0" w:line="1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EGS</w:t>
      </w:r>
      <w:r>
        <w:rPr>
          <w:rFonts w:ascii="Times New Roman" w:cs="Times New Roman" w:eastAsia="Times New Roman" w:hAnsi="Times New Roman"/>
          <w:sz w:val="18"/>
          <w:szCs w:val="18"/>
          <w:color w:val="auto"/>
        </w:rPr>
        <w:t>” means Ellenoff Grossman &amp; Schole LLP, with offices located at 1345 Avenue of the Americas, New York, New York 10105-0302.</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shall have the meaning ascribed to such term in Section 3.1(s).</w:t>
      </w:r>
    </w:p>
    <w:p>
      <w:pPr>
        <w:spacing w:after="0" w:line="225"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823" w:right="339" w:bottom="1440" w:gutter="0" w:footer="0" w:header="0"/>
        </w:sectPr>
      </w:pPr>
    </w:p>
    <w:bookmarkStart w:id="47" w:name="page48"/>
    <w:bookmarkEnd w:id="47"/>
    <w:p>
      <w:pPr>
        <w:jc w:val="both"/>
        <w:ind w:firstLine="3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Exempt Issuance</w:t>
      </w:r>
      <w:r>
        <w:rPr>
          <w:rFonts w:ascii="Times New Roman" w:cs="Times New Roman" w:eastAsia="Times New Roman" w:hAnsi="Times New Roman"/>
          <w:sz w:val="18"/>
          <w:szCs w:val="18"/>
          <w:color w:val="auto"/>
        </w:rPr>
        <w:t>” means the issuance of (a) shares of Common Stock or options to employees, officers or directors of the Company pursuant to any stock or option plan duly adopted for such purpose, by a majority of the non-employee members of the Board of Directors or a majority of the members of a committee of non-employee directors established for such purpose for services rendered to the Company, (b) securities upon the exercise or exchange of or conversion of any Securities issued hereunder, warrants to the Placement Agent in connection with the transactions pursuant to this Agreement and any securities upon exercise of warrants to the Placement Agent and/or other securities exercisable or exchangeable for or convertible into shares of Common Stock issued and outstanding on the date of this Agreement, provided that such securities have not been amended since the date of this Agreement to increase the number of such securities or to decrease the exercise price, exchange price or conversion price of such securities (other than in connection with stock splits or combinations) or to extend the term of such securities, and (c) securities issued pursuant to acquisitions or strategic transactions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prohibition period in Section 4.11(a) herein, and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w:t>
      </w:r>
    </w:p>
    <w:p>
      <w:pPr>
        <w:spacing w:after="0" w:line="1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means the Foreign Corrupt Practices Act of 1977, as amended.</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shall have the meaning ascribed to such term in Section 3.1(hh).</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FDCA</w:t>
      </w:r>
      <w:r>
        <w:rPr>
          <w:rFonts w:ascii="Times New Roman" w:cs="Times New Roman" w:eastAsia="Times New Roman" w:hAnsi="Times New Roman"/>
          <w:sz w:val="18"/>
          <w:szCs w:val="18"/>
          <w:color w:val="auto"/>
        </w:rPr>
        <w:t>” shall have the meaning ascribed to such term in Section 3.1(hh).</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shall have the meaning ascribed to such term in Section 3.1(h).</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shall have the meaning ascribed to such term in Section 3.1(aa).</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shall have the meaning ascribed to such term in Section 3.1(p).</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means a lien, charge, pledge, security interest, encumbrance, right of first refusal, preemptive right or other restriction.</w:t>
      </w:r>
    </w:p>
    <w:p>
      <w:pPr>
        <w:spacing w:after="0" w:line="225" w:lineRule="exact"/>
        <w:rPr>
          <w:sz w:val="20"/>
          <w:szCs w:val="20"/>
          <w:color w:val="auto"/>
        </w:rPr>
      </w:pPr>
    </w:p>
    <w:p>
      <w:pPr>
        <w:jc w:val="both"/>
        <w:ind w:firstLine="3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Lock-Up Agreement</w:t>
      </w:r>
      <w:r>
        <w:rPr>
          <w:rFonts w:ascii="Times New Roman" w:cs="Times New Roman" w:eastAsia="Times New Roman" w:hAnsi="Times New Roman"/>
          <w:sz w:val="18"/>
          <w:szCs w:val="18"/>
          <w:color w:val="auto"/>
        </w:rPr>
        <w:t xml:space="preserve">” means the Lock-Up Agreement, dated as of the date hereof, by and among the Company and the directors and officers of the Company,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shall have the meaning assigned to such term in Section 3.1(b).</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shall have the meaning ascribed to such term in Section 3.1(n).</w:t>
      </w:r>
    </w:p>
    <w:p>
      <w:pPr>
        <w:spacing w:after="0" w:line="225" w:lineRule="exact"/>
        <w:rPr>
          <w:sz w:val="20"/>
          <w:szCs w:val="20"/>
          <w:color w:val="auto"/>
        </w:rPr>
      </w:pPr>
    </w:p>
    <w:p>
      <w:pPr>
        <w:jc w:val="both"/>
        <w:ind w:firstLine="3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Purchase Price</w:t>
      </w:r>
      <w:r>
        <w:rPr>
          <w:rFonts w:ascii="Times New Roman" w:cs="Times New Roman" w:eastAsia="Times New Roman" w:hAnsi="Times New Roman"/>
          <w:sz w:val="18"/>
          <w:szCs w:val="18"/>
          <w:color w:val="auto"/>
        </w:rPr>
        <w:t>” equals $4.00, subject to adjustment for reverse and forward stock splits, stock dividends, stock combinations and other similar transactions of the Common Stock that occur after the date of this Agreement and prior to the Closing Date, provided that the purchase price per Pre-Funded Warrant shall be the Per Share Purchase Price minus $0.001.</w:t>
      </w:r>
    </w:p>
    <w:p>
      <w:pPr>
        <w:spacing w:after="0" w:line="17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48" w:name="page49"/>
    <w:bookmarkEnd w:id="48"/>
    <w:p>
      <w:pPr>
        <w:jc w:val="both"/>
        <w:ind w:firstLine="3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Pharmaceutical Product</w:t>
      </w:r>
      <w:r>
        <w:rPr>
          <w:rFonts w:ascii="Times New Roman" w:cs="Times New Roman" w:eastAsia="Times New Roman" w:hAnsi="Times New Roman"/>
          <w:sz w:val="18"/>
          <w:szCs w:val="18"/>
          <w:color w:val="auto"/>
        </w:rPr>
        <w:t>” shall have the meaning ascribed to such term in Section 3.1(hh).</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Placement Agent</w:t>
      </w:r>
      <w:r>
        <w:rPr>
          <w:rFonts w:ascii="Times New Roman" w:cs="Times New Roman" w:eastAsia="Times New Roman" w:hAnsi="Times New Roman"/>
          <w:sz w:val="18"/>
          <w:szCs w:val="18"/>
          <w:color w:val="auto"/>
        </w:rPr>
        <w:t>” means H.C. Wainwright &amp; Co., LLC.</w:t>
      </w:r>
    </w:p>
    <w:p>
      <w:pPr>
        <w:spacing w:after="0" w:line="225" w:lineRule="exact"/>
        <w:rPr>
          <w:sz w:val="20"/>
          <w:szCs w:val="20"/>
          <w:color w:val="auto"/>
        </w:rPr>
      </w:pPr>
    </w:p>
    <w:p>
      <w:pPr>
        <w:jc w:val="both"/>
        <w:ind w:firstLine="3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Pre-Funded Warrants</w:t>
      </w:r>
      <w:r>
        <w:rPr>
          <w:rFonts w:ascii="Times New Roman" w:cs="Times New Roman" w:eastAsia="Times New Roman" w:hAnsi="Times New Roman"/>
          <w:sz w:val="18"/>
          <w:szCs w:val="18"/>
          <w:color w:val="auto"/>
        </w:rPr>
        <w:t xml:space="preserve">” means, collectively, the pre-funded Common Stock purchase warrants delivered to the Purchasers at the Closing in accordance with Section 2.2(a) hereof, which Pre-Funded Warrants shall be exercisable immediately and shall expire when exercised in full, in the form of </w:t>
      </w:r>
      <w:r>
        <w:rPr>
          <w:rFonts w:ascii="Times New Roman" w:cs="Times New Roman" w:eastAsia="Times New Roman" w:hAnsi="Times New Roman"/>
          <w:sz w:val="18"/>
          <w:szCs w:val="18"/>
          <w:u w:val="single" w:color="auto"/>
          <w:color w:val="auto"/>
        </w:rPr>
        <w:t>Exhibit A-2</w:t>
      </w:r>
      <w:r>
        <w:rPr>
          <w:rFonts w:ascii="Times New Roman" w:cs="Times New Roman" w:eastAsia="Times New Roman" w:hAnsi="Times New Roman"/>
          <w:sz w:val="18"/>
          <w:szCs w:val="18"/>
          <w:color w:val="auto"/>
        </w:rPr>
        <w:t xml:space="preserve"> attached hereto.</w:t>
      </w:r>
    </w:p>
    <w:p>
      <w:pPr>
        <w:spacing w:after="0" w:line="1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Pre-Funded Warrant Shares</w:t>
      </w:r>
      <w:r>
        <w:rPr>
          <w:rFonts w:ascii="Times New Roman" w:cs="Times New Roman" w:eastAsia="Times New Roman" w:hAnsi="Times New Roman"/>
          <w:sz w:val="18"/>
          <w:szCs w:val="18"/>
          <w:color w:val="auto"/>
        </w:rPr>
        <w:t>” means the shares of Common Stock issuable upon exercise of the Pre-Funded Warrants.</w:t>
      </w:r>
    </w:p>
    <w:p>
      <w:pPr>
        <w:spacing w:after="0" w:line="225" w:lineRule="exact"/>
        <w:rPr>
          <w:sz w:val="20"/>
          <w:szCs w:val="20"/>
          <w:color w:val="auto"/>
        </w:rPr>
      </w:pPr>
    </w:p>
    <w:p>
      <w:pPr>
        <w:jc w:val="both"/>
        <w:ind w:firstLine="3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Prior SPA</w:t>
      </w:r>
      <w:r>
        <w:rPr>
          <w:rFonts w:ascii="Times New Roman" w:cs="Times New Roman" w:eastAsia="Times New Roman" w:hAnsi="Times New Roman"/>
          <w:sz w:val="18"/>
          <w:szCs w:val="18"/>
          <w:color w:val="auto"/>
        </w:rPr>
        <w:t>” means that certain Securities Purchase Agreement, dated June 9, 2026, by and between the Company and the Prior SPA Purchasers.</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Prior SPA Purchasers</w:t>
      </w:r>
      <w:r>
        <w:rPr>
          <w:rFonts w:ascii="Times New Roman" w:cs="Times New Roman" w:eastAsia="Times New Roman" w:hAnsi="Times New Roman"/>
          <w:sz w:val="18"/>
          <w:szCs w:val="18"/>
          <w:color w:val="auto"/>
        </w:rPr>
        <w:t>” means the purchasers party to the Prior SPA.</w:t>
      </w:r>
    </w:p>
    <w:p>
      <w:pPr>
        <w:spacing w:after="0" w:line="225" w:lineRule="exact"/>
        <w:rPr>
          <w:sz w:val="20"/>
          <w:szCs w:val="20"/>
          <w:color w:val="auto"/>
        </w:rPr>
      </w:pPr>
    </w:p>
    <w:p>
      <w:pPr>
        <w:jc w:val="both"/>
        <w:ind w:right="20" w:firstLine="3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 action, claim, suit, investigation or proceeding (including, without limitation, an informal investigation or partial proceeding, such as a deposition), whether commenced or threatened.</w:t>
      </w:r>
    </w:p>
    <w:p>
      <w:pPr>
        <w:spacing w:after="0" w:line="162" w:lineRule="exact"/>
        <w:rPr>
          <w:sz w:val="20"/>
          <w:szCs w:val="20"/>
          <w:color w:val="auto"/>
        </w:rPr>
      </w:pPr>
    </w:p>
    <w:p>
      <w:pPr>
        <w:jc w:val="both"/>
        <w:ind w:firstLine="3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final prospectus filed for the Registration Statement, including all information, documents, and exhibits filed with or incorporated by reference into such prospectus.</w:t>
      </w:r>
    </w:p>
    <w:p>
      <w:pPr>
        <w:spacing w:after="0" w:line="162" w:lineRule="exact"/>
        <w:rPr>
          <w:sz w:val="20"/>
          <w:szCs w:val="20"/>
          <w:color w:val="auto"/>
        </w:rPr>
      </w:pPr>
    </w:p>
    <w:p>
      <w:pPr>
        <w:jc w:val="both"/>
        <w:ind w:firstLine="3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means the supplement to the Prospectus complying with Rule 424(b) of the Securities Act, including all information, documents, and exhibits filed with or incorporated by reference into such prospectus supplement, that is filed with the Commission and delivered by the Company to each Purchaser at the Closing.</w:t>
      </w:r>
    </w:p>
    <w:p>
      <w:pPr>
        <w:spacing w:after="0" w:line="1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shall have the meaning ascribed to such term in Section 4.8.</w:t>
      </w:r>
    </w:p>
    <w:p>
      <w:pPr>
        <w:spacing w:after="0" w:line="225" w:lineRule="exact"/>
        <w:rPr>
          <w:sz w:val="20"/>
          <w:szCs w:val="20"/>
          <w:color w:val="auto"/>
        </w:rPr>
      </w:pPr>
    </w:p>
    <w:p>
      <w:pPr>
        <w:jc w:val="both"/>
        <w:ind w:firstLine="3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the effective registration statement with Commission file No. 333-282494 which registers the sale of the Shares, the Pre-Funded Warrants and the Pre-Funded Warrant Shares to the Purchasers.</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 shall have the meaning ascribed to such term in Section 3.1(e).</w:t>
      </w:r>
    </w:p>
    <w:p>
      <w:pPr>
        <w:spacing w:after="0" w:line="225" w:lineRule="exact"/>
        <w:rPr>
          <w:sz w:val="20"/>
          <w:szCs w:val="20"/>
          <w:color w:val="auto"/>
        </w:rPr>
      </w:pPr>
    </w:p>
    <w:p>
      <w:pPr>
        <w:jc w:val="both"/>
        <w:ind w:firstLine="3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49" w:name="page50"/>
    <w:bookmarkEnd w:id="49"/>
    <w:p>
      <w:pPr>
        <w:jc w:val="both"/>
        <w:ind w:firstLine="3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shall have the meaning ascribed to such term in Section 3.1(h).</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means the Shares, the Warrants and the Warrant Shares.</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means the shares of Common Stock issued or issuable to each Purchaser pursuant to this Agreement.</w:t>
      </w:r>
    </w:p>
    <w:p>
      <w:pPr>
        <w:spacing w:after="0" w:line="225" w:lineRule="exact"/>
        <w:rPr>
          <w:sz w:val="20"/>
          <w:szCs w:val="20"/>
          <w:color w:val="auto"/>
        </w:rPr>
      </w:pPr>
    </w:p>
    <w:p>
      <w:pPr>
        <w:jc w:val="both"/>
        <w:ind w:firstLine="3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means all “short sales” as defined in Rule 200 of Regulation SHO under the Exchange Act (but shall not be deemed to include locating and/or borrowing shares of Common Stock).</w:t>
      </w:r>
    </w:p>
    <w:p>
      <w:pPr>
        <w:spacing w:after="0" w:line="162" w:lineRule="exact"/>
        <w:rPr>
          <w:sz w:val="20"/>
          <w:szCs w:val="20"/>
          <w:color w:val="auto"/>
        </w:rPr>
      </w:pPr>
    </w:p>
    <w:p>
      <w:pPr>
        <w:jc w:val="both"/>
        <w:ind w:firstLine="3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Amount</w:t>
      </w:r>
      <w:r>
        <w:rPr>
          <w:rFonts w:ascii="Times New Roman" w:cs="Times New Roman" w:eastAsia="Times New Roman" w:hAnsi="Times New Roman"/>
          <w:sz w:val="18"/>
          <w:szCs w:val="18"/>
          <w:color w:val="auto"/>
        </w:rPr>
        <w:t>” means, as to each Purchaser, the aggregate amount to be paid for Shares and Warrants and Pre-Funded Warrants purchased hereunder as specified below such Purchaser’s name on the signature page of this Agreement and next to the heading “Subscription Amount,” in United States dollars and in immediately available funds (minus, if applicable, a Purchaser’s aggregate exercise price of the Pre-Funded Warrants, which amounts shall be paid as and when such Pre-Funded Warrants are exercised).</w:t>
      </w:r>
    </w:p>
    <w:p>
      <w:pPr>
        <w:spacing w:after="0" w:line="180" w:lineRule="exact"/>
        <w:rPr>
          <w:sz w:val="20"/>
          <w:szCs w:val="20"/>
          <w:color w:val="auto"/>
        </w:rPr>
      </w:pPr>
    </w:p>
    <w:p>
      <w:pPr>
        <w:jc w:val="both"/>
        <w:ind w:right="20" w:firstLine="3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Company as set forth in the SEC Reports, and shall, where applicable, also include any direct or indirect subsidiary of the Company formed or acquired after the date hereof.</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principal Trading Market is open for trading.</w:t>
      </w:r>
    </w:p>
    <w:p>
      <w:pPr>
        <w:spacing w:after="0" w:line="225" w:lineRule="exact"/>
        <w:rPr>
          <w:sz w:val="20"/>
          <w:szCs w:val="20"/>
          <w:color w:val="auto"/>
        </w:rPr>
      </w:pPr>
    </w:p>
    <w:p>
      <w:pPr>
        <w:jc w:val="both"/>
        <w:ind w:firstLine="3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76" w:lineRule="exact"/>
        <w:rPr>
          <w:sz w:val="20"/>
          <w:szCs w:val="20"/>
          <w:color w:val="auto"/>
        </w:rPr>
      </w:pPr>
    </w:p>
    <w:p>
      <w:pPr>
        <w:jc w:val="both"/>
        <w:ind w:firstLine="3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the Warrants, the Lock-Up Agreements, all exhibits and schedules thereto and hereto and any other documents or agreements executed in connection with the transactions contemplated hereunder.</w:t>
      </w:r>
    </w:p>
    <w:p>
      <w:pPr>
        <w:spacing w:after="0" w:line="162" w:lineRule="exact"/>
        <w:rPr>
          <w:sz w:val="20"/>
          <w:szCs w:val="20"/>
          <w:color w:val="auto"/>
        </w:rPr>
      </w:pPr>
    </w:p>
    <w:p>
      <w:pPr>
        <w:jc w:val="both"/>
        <w:ind w:right="20" w:firstLine="3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Computershare Trust Company, N.A., the current transfer agent of the Company, with a mailing address of 150 Royall Street, Suite 101, Canton, Massachusetts 02021, and any successor transfer agent of the Company.</w:t>
      </w:r>
    </w:p>
    <w:p>
      <w:pPr>
        <w:spacing w:after="0" w:line="16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50" w:name="page51"/>
    <w:bookmarkEnd w:id="50"/>
    <w:p>
      <w:pPr>
        <w:ind w:left="10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Variable Rate Transaction</w:t>
      </w:r>
      <w:r>
        <w:rPr>
          <w:rFonts w:ascii="Times New Roman" w:cs="Times New Roman" w:eastAsia="Times New Roman" w:hAnsi="Times New Roman"/>
          <w:sz w:val="18"/>
          <w:szCs w:val="18"/>
          <w:color w:val="auto"/>
        </w:rPr>
        <w:t>” shall have the meaning ascribed to such term in Section 4.11(b).</w:t>
      </w:r>
    </w:p>
    <w:p>
      <w:pPr>
        <w:spacing w:after="0" w:line="22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means, collectively, the Pre-Funded Warrants.</w:t>
      </w:r>
    </w:p>
    <w:p>
      <w:pPr>
        <w:spacing w:after="0" w:line="22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means, collectively, the Pre-Funded Warrant Shares.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PURCHASE AND SALE</w:t>
      </w:r>
    </w:p>
    <w:p>
      <w:pPr>
        <w:spacing w:after="0" w:line="20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On the Closing Date, upon the terms and subject to the conditions set forth herein, the Company agrees to sell, and the Purchasers, severally and not jointly, agree to purchase, up to an aggregate of $10,000,000 million of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a Purchaser determines, in its sole discretion, that such Purchaser (together with such Purchaser’s Affiliates, and any Person acting as a group together with such Purchaser or any of such Purchaser’s Affiliates) would beneficially own in excess of the Beneficial Ownership Limitation, or as such Purchaser may otherwise choose, in lieu of purchasing Shares, such Purchaser may elect to purchase Pre-Funded Warrants in such manner to result in the same aggregate purchase price being paid by such Purchaser to the Company. The “Beneficial Ownership Limitation” shall be 4.99% (or, with respect to each Purchaser, at the election of such Purchaser at Closing, 9.99%) of the number of shares of the Common Stock outstanding immediately after giving effect to the issuance of the Securities on the Closing Date. In each case, the election to receive Pre-Funded Warrants is solely at the option of the Purchaser. Each Purchaser’s Subscription Amount as set forth on the signature page hereto executed by such Purchaser shall be made available for “Delivery Versus Payment” settlement with the Company or its designee. The Company shall deliver to each Purchaser its respective Shares and Warrants as determined pursuant to Section 2.2(a), and the Company and each Purchaser shall deliver the other items set forth in Section 2.2 deliverable at the Closing. Upon satisfaction of the covenants and conditions set forth in Sections 2.2 and 2.3, the Closing shall take place remotely by electronic transfer of the Closing documentation. Notwithstanding anything herein to the contrary, if at any time on or after the time of execution of this Agreement by the Company and an applicable Purchaser, through, and including the time immediately prior to the Closing (the “</w:t>
      </w:r>
      <w:r>
        <w:rPr>
          <w:rFonts w:ascii="Times New Roman" w:cs="Times New Roman" w:eastAsia="Times New Roman" w:hAnsi="Times New Roman"/>
          <w:sz w:val="18"/>
          <w:szCs w:val="18"/>
          <w:u w:val="single" w:color="auto"/>
          <w:color w:val="auto"/>
        </w:rPr>
        <w:t>Pre-Settlement Period</w:t>
      </w:r>
      <w:r>
        <w:rPr>
          <w:rFonts w:ascii="Times New Roman" w:cs="Times New Roman" w:eastAsia="Times New Roman" w:hAnsi="Times New Roman"/>
          <w:sz w:val="18"/>
          <w:szCs w:val="18"/>
          <w:color w:val="auto"/>
        </w:rPr>
        <w:t>”), such Purchaser sells to any Person all, or any portion, of the Shares to be issued hereunder to such Purchaser at the Closing (collectively, the “</w:t>
      </w:r>
      <w:r>
        <w:rPr>
          <w:rFonts w:ascii="Times New Roman" w:cs="Times New Roman" w:eastAsia="Times New Roman" w:hAnsi="Times New Roman"/>
          <w:sz w:val="18"/>
          <w:szCs w:val="18"/>
          <w:u w:val="single" w:color="auto"/>
          <w:color w:val="auto"/>
        </w:rPr>
        <w:t>Pre-Settlement Shares</w:t>
      </w:r>
      <w:r>
        <w:rPr>
          <w:rFonts w:ascii="Times New Roman" w:cs="Times New Roman" w:eastAsia="Times New Roman" w:hAnsi="Times New Roman"/>
          <w:sz w:val="18"/>
          <w:szCs w:val="18"/>
          <w:color w:val="auto"/>
        </w:rPr>
        <w:t>”), such Purchaser shall, automatically hereunder (without any additional required actions by such Purchaser or the Company), be deemed to be unconditionally bound to purchase, and the Company shall be deemed unconditionally bound to sell, such Pre-Settlement Shares at the Closing; provided, that the Company shall not be required to deliver any Pre-Settlement Shares to such Purchaser prior to the Company’s receipt of the purchase price of such Pre-Settlement Shares hereunder; and provided further that the Company hereby acknowledges and agrees that the forgoing shall not constitute a representation or covenant by such Purchaser as to whether or not during the Pre-Settlement Period such Purchaser shall sell any shares of Common Stock to any Person and that any such decision to sell any shares of Common Stock by such Purchaser shall solely be made at the time such Purchaser elects to effect any such sale, if any. Unless otherwise directed by the Placement Agent, settlement of the Shares shall occur via “Delivery Versus Payment” (“</w:t>
      </w:r>
      <w:r>
        <w:rPr>
          <w:rFonts w:ascii="Times New Roman" w:cs="Times New Roman" w:eastAsia="Times New Roman" w:hAnsi="Times New Roman"/>
          <w:sz w:val="18"/>
          <w:szCs w:val="18"/>
          <w:u w:val="single" w:color="auto"/>
          <w:color w:val="auto"/>
        </w:rPr>
        <w:t>DVP</w:t>
      </w:r>
      <w:r>
        <w:rPr>
          <w:rFonts w:ascii="Times New Roman" w:cs="Times New Roman" w:eastAsia="Times New Roman" w:hAnsi="Times New Roman"/>
          <w:sz w:val="18"/>
          <w:szCs w:val="18"/>
          <w:color w:val="auto"/>
        </w:rPr>
        <w:t>”) (i.e., on the Closing Date, the Company shall issue the Shares registered in the Purchasers’ names and addresses and released by the Transfer Agent directly to the account(s) at the Placement Agent identified by each Purchaser; upon receipt of such Shares, the Placement Agent shall promptly electronically deliver such Shares to the applicable Purchaser, and payment therefor shall be made by the Placement Agent (or its clearing firm) by wire transfer to the Company). Notwithstanding anything to the contrary herein and a Purchaser’s Subscription Amount set forth on the signature pages attached hereto, the number of Shares purchased by a Purchaser (and its Affiliates) hereunder shall not, when aggregated with all other shares of Common Stock owned by such Purchaser (and its Affiliates) at such time, result in such Purchaser beneficially owning (as determined in accordance with Section 13(d) of the Exchange Act) in excess of 9.9% of the then issued and outstanding Common Stock outstanding at the Closing (the “</w:t>
      </w:r>
      <w:r>
        <w:rPr>
          <w:rFonts w:ascii="Times New Roman" w:cs="Times New Roman" w:eastAsia="Times New Roman" w:hAnsi="Times New Roman"/>
          <w:sz w:val="18"/>
          <w:szCs w:val="18"/>
          <w:u w:val="single" w:color="auto"/>
          <w:color w:val="auto"/>
        </w:rPr>
        <w:t>Beneficial Ownership Maximum</w:t>
      </w:r>
      <w:r>
        <w:rPr>
          <w:rFonts w:ascii="Times New Roman" w:cs="Times New Roman" w:eastAsia="Times New Roman" w:hAnsi="Times New Roman"/>
          <w:sz w:val="18"/>
          <w:szCs w:val="18"/>
          <w:color w:val="auto"/>
        </w:rPr>
        <w:t>”), and such Purchaser’s Subscription Amount, to the extent it would otherwise exceed the Beneficial Ownership Maximum immediately prior to the Closing, shall be conditioned upon the issuance of Shares at the Closing to the other Purchasers signatory hereto. To the extent that a Purchaser’s beneficial ownership of the Shares would otherwise be deemed to exceed the Beneficial Ownership Maximum, such Purchaser’s Subscription Amount shall automatically be reduced as necessary in order to comply with this paragraph. Notwithstanding the foregoing, with respect to any Exercise Notice(s) (as defined in the Pre-Funded Warrants) delivered on or prior to 12:00 p.m. (New York City time) on the Closing Date, which may be delivered at any time after the time of execution of this Agreement, the Company agrees to deliver the Pre-Funded Warrant Shares subject to such notice(s) by 4:00 p.m. (New York City time) on the Closing Date and the Closing Date shall be the Delivery Date (as defined in the Pre-Funded Warrants) for purposes hereunder.</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1" w:name="page52"/>
    <w:bookmarkEnd w:id="51"/>
    <w:p>
      <w:pPr>
        <w:spacing w:after="0"/>
        <w:tabs>
          <w:tab w:leader="none" w:pos="38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u w:val="single" w:color="auto"/>
          <w:color w:val="auto"/>
        </w:rPr>
        <w:t>Deliveries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800" w:hanging="408"/>
        <w:spacing w:after="0"/>
        <w:tabs>
          <w:tab w:leader="none" w:pos="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(except as indicated below), the Company shall deliver or cause to be delivered to each Purchaser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w:t>
      </w:r>
    </w:p>
    <w:p>
      <w:pPr>
        <w:spacing w:after="0" w:line="206" w:lineRule="exact"/>
        <w:rPr>
          <w:rFonts w:ascii="Times New Roman" w:cs="Times New Roman" w:eastAsia="Times New Roman" w:hAnsi="Times New Roman"/>
          <w:sz w:val="18"/>
          <w:szCs w:val="18"/>
          <w:color w:val="auto"/>
        </w:rPr>
      </w:pPr>
    </w:p>
    <w:p>
      <w:pPr>
        <w:ind w:left="1100" w:hanging="348"/>
        <w:spacing w:after="0"/>
        <w:tabs>
          <w:tab w:leader="none" w:pos="11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the Company;</w:t>
      </w:r>
    </w:p>
    <w:p>
      <w:pPr>
        <w:spacing w:after="0" w:line="225" w:lineRule="exact"/>
        <w:rPr>
          <w:rFonts w:ascii="Times New Roman" w:cs="Times New Roman" w:eastAsia="Times New Roman" w:hAnsi="Times New Roman"/>
          <w:sz w:val="18"/>
          <w:szCs w:val="18"/>
          <w:color w:val="auto"/>
        </w:rPr>
      </w:pPr>
    </w:p>
    <w:p>
      <w:pPr>
        <w:ind w:left="360" w:firstLine="392"/>
        <w:spacing w:after="0" w:line="282" w:lineRule="auto"/>
        <w:tabs>
          <w:tab w:leader="none" w:pos="1183"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opinion of Company Counsel, directed to the Placement Agent and the Purchasers, in a form reasonably acceptable to the Placement Agent and Purchasers;</w:t>
      </w:r>
    </w:p>
    <w:p>
      <w:pPr>
        <w:spacing w:after="0" w:line="161" w:lineRule="exact"/>
        <w:rPr>
          <w:rFonts w:ascii="Times New Roman" w:cs="Times New Roman" w:eastAsia="Times New Roman" w:hAnsi="Times New Roman"/>
          <w:sz w:val="18"/>
          <w:szCs w:val="18"/>
          <w:color w:val="auto"/>
        </w:rPr>
      </w:pPr>
    </w:p>
    <w:p>
      <w:pPr>
        <w:ind w:left="360" w:firstLine="392"/>
        <w:spacing w:after="0" w:line="282" w:lineRule="auto"/>
        <w:tabs>
          <w:tab w:leader="none" w:pos="128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2.1, the Company shall have provided each Purchaser with the Company’s wire instructions, on Company letterhead and executed by the Chief Executive Officer or Chief Financial Officer;</w:t>
      </w:r>
    </w:p>
    <w:p>
      <w:pPr>
        <w:spacing w:after="0" w:line="161" w:lineRule="exact"/>
        <w:rPr>
          <w:rFonts w:ascii="Times New Roman" w:cs="Times New Roman" w:eastAsia="Times New Roman" w:hAnsi="Times New Roman"/>
          <w:sz w:val="18"/>
          <w:szCs w:val="18"/>
          <w:color w:val="auto"/>
        </w:rPr>
      </w:pPr>
    </w:p>
    <w:p>
      <w:pPr>
        <w:jc w:val="both"/>
        <w:ind w:left="360" w:firstLine="392"/>
        <w:spacing w:after="0" w:line="261" w:lineRule="auto"/>
        <w:tabs>
          <w:tab w:leader="none" w:pos="1213"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2.1, a copy of the irrevocable instructions to the Transfer Agent instructing the Transfer Agent to deliver on an expedited basis via The Depository Trust Company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Shares equal to such Purchaser’s Subscription Amount divided by the Per Share Purchase Price (minus the number of shares of Common Stock issuable upon exercise of such Purchaser’s Pre-Funded Warrant, if applicable), registered in the name of such Purchaser;</w:t>
      </w:r>
    </w:p>
    <w:p>
      <w:pPr>
        <w:spacing w:after="0" w:line="179" w:lineRule="exact"/>
        <w:rPr>
          <w:rFonts w:ascii="Times New Roman" w:cs="Times New Roman" w:eastAsia="Times New Roman" w:hAnsi="Times New Roman"/>
          <w:sz w:val="18"/>
          <w:szCs w:val="18"/>
          <w:color w:val="auto"/>
        </w:rPr>
      </w:pPr>
    </w:p>
    <w:p>
      <w:pPr>
        <w:jc w:val="both"/>
        <w:ind w:left="360" w:firstLine="392"/>
        <w:spacing w:after="0" w:line="261" w:lineRule="auto"/>
        <w:tabs>
          <w:tab w:leader="none" w:pos="128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Purchaser of Pre-Funded Warrants pursuant to Section 2.1, a Pre-Funded Warrant registered in the name of such Purchaser to purchase up to a number of shares of Common Stock equal to the portion of such Purchaser’s Subscription Amount applicable to Pre-Funded Warrant divided by the Per Share Purchase Price minus $0.001, with an exercise price equal to $0.001, subject to adjustment therein;</w:t>
      </w:r>
    </w:p>
    <w:p>
      <w:pPr>
        <w:spacing w:after="0" w:line="18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52" w:name="page53"/>
    <w:bookmarkEnd w:id="52"/>
    <w:p>
      <w:pPr>
        <w:ind w:left="1200" w:hanging="448"/>
        <w:spacing w:after="0"/>
        <w:tabs>
          <w:tab w:leader="none" w:pos="12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duly executed Lock-Up Agreements; and</w:t>
      </w:r>
    </w:p>
    <w:p>
      <w:pPr>
        <w:spacing w:after="0" w:line="225" w:lineRule="exact"/>
        <w:rPr>
          <w:rFonts w:ascii="Times New Roman" w:cs="Times New Roman" w:eastAsia="Times New Roman" w:hAnsi="Times New Roman"/>
          <w:sz w:val="18"/>
          <w:szCs w:val="18"/>
          <w:color w:val="auto"/>
        </w:rPr>
      </w:pPr>
    </w:p>
    <w:p>
      <w:pPr>
        <w:ind w:left="1240" w:hanging="488"/>
        <w:spacing w:after="0"/>
        <w:tabs>
          <w:tab w:leader="none" w:pos="12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and Prospectus Supplement (which may be delivered in accordance with Rule 172 under the Securities Act).</w:t>
      </w:r>
    </w:p>
    <w:p>
      <w:pPr>
        <w:spacing w:after="0" w:line="225" w:lineRule="exact"/>
        <w:rPr>
          <w:rFonts w:ascii="Times New Roman" w:cs="Times New Roman" w:eastAsia="Times New Roman" w:hAnsi="Times New Roman"/>
          <w:sz w:val="18"/>
          <w:szCs w:val="18"/>
          <w:color w:val="auto"/>
        </w:rPr>
      </w:pPr>
    </w:p>
    <w:p>
      <w:pPr>
        <w:ind w:left="780" w:hanging="388"/>
        <w:spacing w:after="0"/>
        <w:tabs>
          <w:tab w:leader="none" w:pos="7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each Purchaser shall deliver or cause to be delivered to the Company the following:</w:t>
      </w:r>
    </w:p>
    <w:p>
      <w:pPr>
        <w:spacing w:after="0" w:line="225" w:lineRule="exact"/>
        <w:rPr>
          <w:rFonts w:ascii="Times New Roman" w:cs="Times New Roman" w:eastAsia="Times New Roman" w:hAnsi="Times New Roman"/>
          <w:sz w:val="18"/>
          <w:szCs w:val="18"/>
          <w:color w:val="auto"/>
        </w:rPr>
      </w:pPr>
    </w:p>
    <w:p>
      <w:pPr>
        <w:ind w:left="1100" w:hanging="348"/>
        <w:spacing w:after="0"/>
        <w:tabs>
          <w:tab w:leader="none" w:pos="11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such Purchaser; and</w:t>
      </w:r>
    </w:p>
    <w:p>
      <w:pPr>
        <w:spacing w:after="0" w:line="225" w:lineRule="exact"/>
        <w:rPr>
          <w:rFonts w:ascii="Times New Roman" w:cs="Times New Roman" w:eastAsia="Times New Roman" w:hAnsi="Times New Roman"/>
          <w:sz w:val="18"/>
          <w:szCs w:val="18"/>
          <w:color w:val="auto"/>
        </w:rPr>
      </w:pPr>
    </w:p>
    <w:p>
      <w:pPr>
        <w:ind w:left="360" w:firstLine="392"/>
        <w:spacing w:after="0" w:line="282" w:lineRule="auto"/>
        <w:tabs>
          <w:tab w:leader="none" w:pos="1295"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Purchaser’s Subscription Amount, which shall be made available for “Delivery Versus Payment” settlement with the Company or its designee.</w:t>
      </w:r>
    </w:p>
    <w:p>
      <w:pPr>
        <w:spacing w:after="0" w:line="16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u w:val="single" w:color="auto"/>
          <w:color w:val="auto"/>
        </w:rPr>
        <w:t>Closing Conditions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760" w:hanging="36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hereunder in connection with the Closing are subject to the following conditions being met:</w:t>
      </w:r>
    </w:p>
    <w:p>
      <w:pPr>
        <w:spacing w:after="0" w:line="225" w:lineRule="exact"/>
        <w:rPr>
          <w:rFonts w:ascii="Times New Roman" w:cs="Times New Roman" w:eastAsia="Times New Roman" w:hAnsi="Times New Roman"/>
          <w:sz w:val="18"/>
          <w:szCs w:val="18"/>
          <w:color w:val="auto"/>
        </w:rPr>
      </w:pPr>
    </w:p>
    <w:p>
      <w:pPr>
        <w:jc w:val="both"/>
        <w:ind w:left="360" w:firstLine="392"/>
        <w:spacing w:after="0" w:line="261" w:lineRule="auto"/>
        <w:tabs>
          <w:tab w:leader="none" w:pos="1115"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 Adverse Effect, in all respects) on the Closing Date of the representations and warranties of the Purchasers contained herein (unless as of a specific date therein in which case they shall be accurate in all material respects (or, to the extent representations or warranties are qualified by materiality or Material Adverse Effect, in all respects) as of such date);</w:t>
      </w:r>
    </w:p>
    <w:p>
      <w:pPr>
        <w:spacing w:after="0" w:line="179" w:lineRule="exact"/>
        <w:rPr>
          <w:rFonts w:ascii="Times New Roman" w:cs="Times New Roman" w:eastAsia="Times New Roman" w:hAnsi="Times New Roman"/>
          <w:sz w:val="18"/>
          <w:szCs w:val="18"/>
          <w:color w:val="auto"/>
        </w:rPr>
      </w:pPr>
    </w:p>
    <w:p>
      <w:pPr>
        <w:ind w:left="360" w:firstLine="392"/>
        <w:spacing w:after="0" w:line="282" w:lineRule="auto"/>
        <w:tabs>
          <w:tab w:leader="none" w:pos="1203"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each Purchaser required to be performed at or prior to the Closing Date shall have been performed; and</w:t>
      </w:r>
    </w:p>
    <w:p>
      <w:pPr>
        <w:spacing w:after="0" w:line="161" w:lineRule="exact"/>
        <w:rPr>
          <w:rFonts w:ascii="Times New Roman" w:cs="Times New Roman" w:eastAsia="Times New Roman" w:hAnsi="Times New Roman"/>
          <w:sz w:val="18"/>
          <w:szCs w:val="18"/>
          <w:color w:val="auto"/>
        </w:rPr>
      </w:pPr>
    </w:p>
    <w:p>
      <w:pPr>
        <w:ind w:left="1200" w:hanging="448"/>
        <w:spacing w:after="0"/>
        <w:tabs>
          <w:tab w:leader="none" w:pos="12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each Purchaser of the items set forth in Section 2.2(b) of this Agreement.</w:t>
      </w:r>
    </w:p>
    <w:p>
      <w:pPr>
        <w:spacing w:after="0" w:line="225" w:lineRule="exact"/>
        <w:rPr>
          <w:rFonts w:ascii="Times New Roman" w:cs="Times New Roman" w:eastAsia="Times New Roman" w:hAnsi="Times New Roman"/>
          <w:sz w:val="18"/>
          <w:szCs w:val="18"/>
          <w:color w:val="auto"/>
        </w:rPr>
      </w:pPr>
    </w:p>
    <w:p>
      <w:pPr>
        <w:ind w:left="840" w:hanging="448"/>
        <w:spacing w:after="0"/>
        <w:tabs>
          <w:tab w:leader="none" w:pos="8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obligations of the Purchasers hereunder in connection with the Closing are subject to the following conditions being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w:t>
      </w:r>
    </w:p>
    <w:p>
      <w:pPr>
        <w:spacing w:after="0" w:line="207" w:lineRule="exact"/>
        <w:rPr>
          <w:sz w:val="20"/>
          <w:szCs w:val="20"/>
          <w:color w:val="auto"/>
        </w:rPr>
      </w:pPr>
    </w:p>
    <w:p>
      <w:pPr>
        <w:jc w:val="both"/>
        <w:ind w:left="360" w:firstLine="392"/>
        <w:spacing w:after="0" w:line="261" w:lineRule="auto"/>
        <w:tabs>
          <w:tab w:leader="none" w:pos="111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in all material respects or, to the extent representations or warranties are qualified by materiality or Material Adverse Effect, in all respects) as of such date);</w:t>
      </w:r>
    </w:p>
    <w:p>
      <w:pPr>
        <w:spacing w:after="0" w:line="18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53" w:name="page54"/>
    <w:bookmarkEnd w:id="53"/>
    <w:p>
      <w:pPr>
        <w:ind w:left="1020" w:right="20" w:firstLine="392"/>
        <w:spacing w:after="0" w:line="282" w:lineRule="auto"/>
        <w:tabs>
          <w:tab w:leader="none" w:pos="181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the Company required to be performed at or prior to the Closing Date shall have been performed;</w:t>
      </w:r>
    </w:p>
    <w:p>
      <w:pPr>
        <w:spacing w:after="0" w:line="161" w:lineRule="exact"/>
        <w:rPr>
          <w:rFonts w:ascii="Times New Roman" w:cs="Times New Roman" w:eastAsia="Times New Roman" w:hAnsi="Times New Roman"/>
          <w:sz w:val="18"/>
          <w:szCs w:val="18"/>
          <w:color w:val="auto"/>
        </w:rPr>
      </w:pPr>
    </w:p>
    <w:p>
      <w:pPr>
        <w:ind w:left="1860" w:hanging="448"/>
        <w:spacing w:after="0"/>
        <w:tabs>
          <w:tab w:leader="none" w:pos="18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the Company of the items set forth in Section 2.2(a) of this Agreement;</w:t>
      </w:r>
    </w:p>
    <w:p>
      <w:pPr>
        <w:spacing w:after="0" w:line="225" w:lineRule="exact"/>
        <w:rPr>
          <w:rFonts w:ascii="Times New Roman" w:cs="Times New Roman" w:eastAsia="Times New Roman" w:hAnsi="Times New Roman"/>
          <w:sz w:val="18"/>
          <w:szCs w:val="18"/>
          <w:color w:val="auto"/>
        </w:rPr>
      </w:pPr>
    </w:p>
    <w:p>
      <w:pPr>
        <w:ind w:left="1860" w:hanging="448"/>
        <w:spacing w:after="0"/>
        <w:tabs>
          <w:tab w:leader="none" w:pos="18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no Material Adverse Effect with respect to the Company since the date hereof; and</w:t>
      </w:r>
    </w:p>
    <w:p>
      <w:pPr>
        <w:spacing w:after="0" w:line="225" w:lineRule="exact"/>
        <w:rPr>
          <w:rFonts w:ascii="Times New Roman" w:cs="Times New Roman" w:eastAsia="Times New Roman" w:hAnsi="Times New Roman"/>
          <w:sz w:val="18"/>
          <w:szCs w:val="18"/>
          <w:color w:val="auto"/>
        </w:rPr>
      </w:pPr>
    </w:p>
    <w:p>
      <w:pPr>
        <w:jc w:val="both"/>
        <w:ind w:left="1020" w:firstLine="392"/>
        <w:spacing w:after="0" w:line="255" w:lineRule="auto"/>
        <w:tabs>
          <w:tab w:leader="none" w:pos="183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Except as set forth in the SEC Reports, the Company hereby makes the following representations and warranties to each Purchaser:</w:t>
      </w:r>
    </w:p>
    <w:p>
      <w:pPr>
        <w:spacing w:after="0" w:line="162" w:lineRule="exact"/>
        <w:rPr>
          <w:sz w:val="20"/>
          <w:szCs w:val="20"/>
          <w:color w:val="auto"/>
        </w:rPr>
      </w:pPr>
    </w:p>
    <w:p>
      <w:pPr>
        <w:jc w:val="both"/>
        <w:ind w:left="660" w:firstLine="392"/>
        <w:spacing w:after="0" w:line="258" w:lineRule="auto"/>
        <w:tabs>
          <w:tab w:leader="none" w:pos="146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All of the direct and indirect subsidiaries of the Company are set forth in the SEC Reports.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 If the Company has no subsidiaries, all other references to the Subsidiaries or any of them in the Transaction Documents shall be disregarded.</w:t>
      </w:r>
    </w:p>
    <w:p>
      <w:pPr>
        <w:spacing w:after="0" w:line="183" w:lineRule="exact"/>
        <w:rPr>
          <w:rFonts w:ascii="Times New Roman" w:cs="Times New Roman" w:eastAsia="Times New Roman" w:hAnsi="Times New Roman"/>
          <w:sz w:val="18"/>
          <w:szCs w:val="18"/>
          <w:color w:val="auto"/>
        </w:rPr>
      </w:pPr>
    </w:p>
    <w:p>
      <w:pPr>
        <w:jc w:val="both"/>
        <w:ind w:left="660" w:firstLine="392"/>
        <w:spacing w:after="0" w:line="253" w:lineRule="auto"/>
        <w:tabs>
          <w:tab w:leader="none" w:pos="1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 w:cs="Times New Roman" w:eastAsia="Times New Roman" w:hAnsi="Times New Roman"/>
          <w:sz w:val="18"/>
          <w:szCs w:val="18"/>
          <w:u w:val="single" w:color="auto"/>
          <w:color w:val="auto"/>
        </w:rPr>
        <w:t>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Adverse Effect</w:t>
      </w:r>
      <w:r>
        <w:rPr>
          <w:rFonts w:ascii="Times New Roman" w:cs="Times New Roman" w:eastAsia="Times New Roman" w:hAnsi="Times New Roman"/>
          <w:sz w:val="18"/>
          <w:szCs w:val="18"/>
          <w:color w:val="auto"/>
        </w:rPr>
        <w:t>”) and no Proceeding has been instituted in any such jurisdiction revoking, limiting or curtailing or seeking to revoke, limit or curtail such power and authority or qualification.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4" w:name="page55"/>
    <w:bookmarkEnd w:id="54"/>
    <w:p>
      <w:pPr>
        <w:jc w:val="both"/>
        <w:ind w:left="-392" w:firstLine="392"/>
        <w:spacing w:after="0" w:line="253" w:lineRule="auto"/>
        <w:tabs>
          <w:tab w:leader="none" w:pos="49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1" w:lineRule="exact"/>
        <w:rPr>
          <w:rFonts w:ascii="Times New Roman" w:cs="Times New Roman" w:eastAsia="Times New Roman" w:hAnsi="Times New Roman"/>
          <w:sz w:val="18"/>
          <w:szCs w:val="18"/>
          <w:color w:val="auto"/>
        </w:rPr>
      </w:pPr>
    </w:p>
    <w:p>
      <w:pPr>
        <w:jc w:val="both"/>
        <w:ind w:left="-392" w:firstLine="392"/>
        <w:spacing w:after="0" w:line="253" w:lineRule="auto"/>
        <w:tabs>
          <w:tab w:leader="none" w:pos="44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would not have or reasonably be expected to result in a Material Adverse Effect.</w:t>
      </w:r>
    </w:p>
    <w:p>
      <w:pPr>
        <w:spacing w:after="0" w:line="190" w:lineRule="exact"/>
        <w:rPr>
          <w:sz w:val="20"/>
          <w:szCs w:val="20"/>
          <w:color w:val="auto"/>
        </w:rPr>
      </w:pPr>
    </w:p>
    <w:p>
      <w:pPr>
        <w:ind w:left="4488"/>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-662305</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88"/>
          </w:cols>
          <w:pgMar w:left="1372" w:top="580" w:right="339" w:bottom="1440" w:gutter="0" w:footer="0" w:header="0"/>
        </w:sectPr>
      </w:pPr>
    </w:p>
    <w:bookmarkStart w:id="55" w:name="page56"/>
    <w:bookmarkEnd w:id="55"/>
    <w:p>
      <w:pPr>
        <w:jc w:val="both"/>
        <w:ind w:left="-392" w:firstLine="392"/>
        <w:spacing w:after="0" w:line="256" w:lineRule="auto"/>
        <w:tabs>
          <w:tab w:leader="none" w:pos="38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 Consents and Approvals</w:t>
      </w:r>
      <w:r>
        <w:rPr>
          <w:rFonts w:ascii="Times New Roman" w:cs="Times New Roman" w:eastAsia="Times New Roman" w:hAnsi="Times New Roman"/>
          <w:sz w:val="18"/>
          <w:szCs w:val="18"/>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the filing with the Commission of the Prospectus Supplement, (iii) application(s) to each applicable Trading Market for the listing of the Shares and Warrant Shares for trading thereon in the time and manner required thereby, and (iv) such filings as are required to be made under applicable state securities laws (collectively, the “</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left="-392" w:firstLine="392"/>
        <w:spacing w:after="0" w:line="252" w:lineRule="auto"/>
        <w:tabs>
          <w:tab w:leader="none" w:pos="45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the Securities; Registration</w:t>
      </w:r>
      <w:r>
        <w:rPr>
          <w:rFonts w:ascii="Times New Roman" w:cs="Times New Roman" w:eastAsia="Times New Roman" w:hAnsi="Times New Roman"/>
          <w:sz w:val="18"/>
          <w:szCs w:val="18"/>
          <w:color w:val="auto"/>
        </w:rPr>
        <w:t>. The Securities are duly authorized and, when issued and paid for in accordance with the applicable Transaction Documents, will be duly and validly issued, fully paid and nonassessable, free and clear of all Liens imposed by the Company. The Warrant Shares, when issued in accordance with the terms of the Warrants, will be validly issued, fully paid and nonassessable, free and clear of all Liens imposed by the Company. The Company has reserved from its duly authorized capital stock the maximum number of shares of Common Stock issuable pursuant to this Agreement and the Warrants. The Company has prepared and filed the Registration Statement in conformity with the requirements of the Securities Act, which became effective on October 10, 2024, including the Prospectus, and such amendments and supplements thereto as may have been required to the date of this Agreement. The Registration Statement is effective under the Securities Act and no stop order preventing or suspending the effectiveness of the Registration Statement or suspending or preventing the use of the Prospectus has been issued by the Commission and no proceedings for that purpose have been instituted or, to the knowledge of the Company, are threatened by the Commission. The Company, if required by the rules and regulations of the Commission, shall file the Prospectus Supplement with the Commission pursuant to Rule 424(b). At the time the Registration Statement and any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and any amendments or supplements thereto, at the time the Prospectus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 The Company was at the time of the filing of the Registration Statement eligible to use Form S-3. The Company is eligible to use Form S-3 under the Securities Act and it meets the transaction requirements with respect to the aggregate market value of securities being sold pursuant to this offering and during the twelve (12) months prior to this offering, as set forth in General Instruction I.B.6 of Form S-3.</w:t>
      </w:r>
    </w:p>
    <w:p>
      <w:pPr>
        <w:spacing w:after="0" w:line="189" w:lineRule="exact"/>
        <w:rPr>
          <w:sz w:val="20"/>
          <w:szCs w:val="20"/>
          <w:color w:val="auto"/>
        </w:rPr>
      </w:pPr>
    </w:p>
    <w:p>
      <w:pPr>
        <w:ind w:left="4488"/>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-662305</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88"/>
          </w:cols>
          <w:pgMar w:left="1372" w:top="580" w:right="339" w:bottom="1440" w:gutter="0" w:footer="0" w:header="0"/>
        </w:sectPr>
      </w:pPr>
    </w:p>
    <w:bookmarkStart w:id="56" w:name="page57"/>
    <w:bookmarkEnd w:id="56"/>
    <w:p>
      <w:pPr>
        <w:jc w:val="both"/>
        <w:ind w:left="-392" w:firstLine="392"/>
        <w:spacing w:after="0" w:line="251" w:lineRule="auto"/>
        <w:tabs>
          <w:tab w:leader="none" w:pos="46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capitalization of the Company as of the dates thereof is as set forth in the SEC Reports. The Company has not issued any capital stock since its most recently filed periodic report under the Exchange Act, other than pursuant (i) as disclosed in a subsequent Current Report on Form 8-K, (ii) to the exercise of employee stock options under the Company’s stock option plans, (iii) the issuance of shares of Common Stock to employees pursuant to the Company’s employee stock purchase plans, and (iv) pursuant to the conversion and/or exercise of Common Stock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Except as a result of the purchase and sale of the Securities and as set forth in the SEC Reports,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Securities will not obligate the Company or any Subsidiary to issue shares of Common Stock or other securities to any Person (other than the Purchasers). Except as set forth in the SEC Reports, there are no outstanding securities or instruments of the Company or any Subsidiary with any provision that adjusts the exercise, conversion, exchange or reset price of such security or instrument upon an issuance of securities by the Company or any Subsidiary.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stockholder, the Board of Directors or others is required for the issuance and sale of the Securities.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205" w:lineRule="exact"/>
        <w:rPr>
          <w:sz w:val="20"/>
          <w:szCs w:val="20"/>
          <w:color w:val="auto"/>
        </w:rPr>
      </w:pPr>
    </w:p>
    <w:p>
      <w:pPr>
        <w:ind w:left="4488"/>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-662305</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88"/>
          </w:cols>
          <w:pgMar w:left="1372" w:top="580" w:right="339" w:bottom="1440" w:gutter="0" w:footer="0" w:header="0"/>
        </w:sectPr>
      </w:pPr>
    </w:p>
    <w:bookmarkStart w:id="57" w:name="page58"/>
    <w:bookmarkEnd w:id="57"/>
    <w:p>
      <w:pPr>
        <w:jc w:val="both"/>
        <w:ind w:left="4" w:firstLine="392"/>
        <w:spacing w:after="0" w:line="252" w:lineRule="auto"/>
        <w:tabs>
          <w:tab w:leader="none" w:pos="817"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Reports; Financial Statements</w:t>
      </w:r>
      <w:r>
        <w:rPr>
          <w:rFonts w:ascii="Times New Roman" w:cs="Times New Roman" w:eastAsia="Times New Roman" w:hAnsi="Times New Roman"/>
          <w:sz w:val="18"/>
          <w:szCs w:val="18"/>
          <w:color w:val="auto"/>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together with the Prospectus and the Prospectus Supplement, being collectively referred to herein as the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194" w:lineRule="exact"/>
        <w:rPr>
          <w:rFonts w:ascii="Times New Roman" w:cs="Times New Roman" w:eastAsia="Times New Roman" w:hAnsi="Times New Roman"/>
          <w:sz w:val="18"/>
          <w:szCs w:val="18"/>
          <w:color w:val="auto"/>
        </w:rPr>
      </w:pPr>
    </w:p>
    <w:p>
      <w:pPr>
        <w:jc w:val="both"/>
        <w:ind w:left="4" w:firstLine="392"/>
        <w:spacing w:after="0" w:line="272" w:lineRule="auto"/>
        <w:tabs>
          <w:tab w:leader="none" w:pos="763"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Material Changes; Undisclosed Events, Liabilities or Developments</w:t>
      </w:r>
      <w:r>
        <w:rPr>
          <w:rFonts w:ascii="Times New Roman" w:cs="Times New Roman" w:eastAsia="Times New Roman" w:hAnsi="Times New Roman"/>
          <w:sz w:val="17"/>
          <w:szCs w:val="17"/>
          <w:color w:val="auto"/>
        </w:rPr>
        <w:t>. Except as set forth in the SEC Reports, since the date of the latest audited financial statements included within the SEC Reports, (i) there has been no event, occurrence or development that has had or that would reasonably be expected to result in a Material Adverse Effect, (ii) the Company has not incurred any liabilities (contingent or otherwise) other than</w:t>
      </w:r>
    </w:p>
    <w:p>
      <w:pPr>
        <w:spacing w:after="0" w:line="1" w:lineRule="exact"/>
        <w:rPr>
          <w:rFonts w:ascii="Times New Roman" w:cs="Times New Roman" w:eastAsia="Times New Roman" w:hAnsi="Times New Roman"/>
          <w:sz w:val="17"/>
          <w:szCs w:val="17"/>
          <w:color w:val="auto"/>
        </w:rPr>
      </w:pPr>
    </w:p>
    <w:p>
      <w:pPr>
        <w:jc w:val="both"/>
        <w:ind w:left="4" w:hanging="4"/>
        <w:spacing w:after="0" w:line="251" w:lineRule="auto"/>
        <w:tabs>
          <w:tab w:leader="none" w:pos="30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 The Company does not have pending before the Commission any request for confidential treatment of information. Except for the issuance of the Securities contemplated by this Agreement or as set forth in the SEC Reports,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1 Trading Day prior to the date that this representation is made.</w:t>
      </w:r>
    </w:p>
    <w:p>
      <w:pPr>
        <w:spacing w:after="0" w:line="19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80" w:right="339" w:bottom="1440" w:gutter="0" w:footer="0" w:header="0"/>
        </w:sectPr>
      </w:pPr>
    </w:p>
    <w:bookmarkStart w:id="58" w:name="page59"/>
    <w:bookmarkEnd w:id="58"/>
    <w:p>
      <w:pPr>
        <w:jc w:val="both"/>
        <w:ind w:left="-392" w:firstLine="392"/>
        <w:spacing w:after="0" w:line="253" w:lineRule="auto"/>
        <w:tabs>
          <w:tab w:leader="none" w:pos="43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Except as set forth in the SEC Reports,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None of the Actions set forth in the SEC Reports, (i) adversely affects or challenges the legality, validity or enforceability of any of the Transaction Documents or the Securities or (ii) would, if there were an unfavorable decision, have or reasonably be expected to result in a Material Adverse Effect. Neither the Company nor any Subsidiary,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194" w:lineRule="exact"/>
        <w:rPr>
          <w:rFonts w:ascii="Times New Roman" w:cs="Times New Roman" w:eastAsia="Times New Roman" w:hAnsi="Times New Roman"/>
          <w:sz w:val="18"/>
          <w:szCs w:val="18"/>
          <w:color w:val="auto"/>
        </w:rPr>
      </w:pPr>
    </w:p>
    <w:p>
      <w:pPr>
        <w:jc w:val="both"/>
        <w:ind w:left="-392" w:firstLine="392"/>
        <w:spacing w:after="0" w:line="253" w:lineRule="auto"/>
        <w:tabs>
          <w:tab w:leader="none" w:pos="40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Labor Relations</w:t>
      </w:r>
      <w:r>
        <w:rPr>
          <w:rFonts w:ascii="Times New Roman" w:cs="Times New Roman" w:eastAsia="Times New Roman" w:hAnsi="Times New Roman"/>
          <w:sz w:val="18"/>
          <w:szCs w:val="18"/>
          <w:color w:val="auto"/>
        </w:rPr>
        <w:t>. No labor dispute exists or, to the knowledge of the Company, is imminent with respect to any of the employees of the Company, which would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would not, individually or in the aggregate, reasonably be expected to have a Material Adverse Effect.</w:t>
      </w:r>
    </w:p>
    <w:p>
      <w:pPr>
        <w:spacing w:after="0" w:line="191" w:lineRule="exact"/>
        <w:rPr>
          <w:rFonts w:ascii="Times New Roman" w:cs="Times New Roman" w:eastAsia="Times New Roman" w:hAnsi="Times New Roman"/>
          <w:sz w:val="18"/>
          <w:szCs w:val="18"/>
          <w:color w:val="auto"/>
        </w:rPr>
      </w:pPr>
    </w:p>
    <w:p>
      <w:pPr>
        <w:jc w:val="both"/>
        <w:ind w:left="-392" w:firstLine="392"/>
        <w:spacing w:after="0" w:line="254" w:lineRule="auto"/>
        <w:tabs>
          <w:tab w:leader="none" w:pos="38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w:t>
      </w:r>
    </w:p>
    <w:p>
      <w:pPr>
        <w:spacing w:after="0" w:line="192" w:lineRule="exact"/>
        <w:rPr>
          <w:sz w:val="20"/>
          <w:szCs w:val="20"/>
          <w:color w:val="auto"/>
        </w:rPr>
      </w:pPr>
    </w:p>
    <w:p>
      <w:pPr>
        <w:ind w:left="4488"/>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-662305</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88"/>
          </w:cols>
          <w:pgMar w:left="1372" w:top="580" w:right="339" w:bottom="1440" w:gutter="0" w:footer="0" w:header="0"/>
        </w:sectPr>
      </w:pPr>
    </w:p>
    <w:bookmarkStart w:id="59" w:name="page60"/>
    <w:bookmarkEnd w:id="59"/>
    <w:p>
      <w:pPr>
        <w:jc w:val="both"/>
        <w:ind w:left="-392" w:firstLine="392"/>
        <w:spacing w:after="0" w:line="253" w:lineRule="auto"/>
        <w:tabs>
          <w:tab w:leader="none" w:pos="47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w:t>
      </w:r>
    </w:p>
    <w:p>
      <w:pPr>
        <w:spacing w:after="0" w:line="194" w:lineRule="exact"/>
        <w:rPr>
          <w:rFonts w:ascii="Times New Roman" w:cs="Times New Roman" w:eastAsia="Times New Roman" w:hAnsi="Times New Roman"/>
          <w:sz w:val="18"/>
          <w:szCs w:val="18"/>
          <w:color w:val="auto"/>
        </w:rPr>
      </w:pPr>
    </w:p>
    <w:p>
      <w:pPr>
        <w:jc w:val="both"/>
        <w:ind w:left="-392" w:firstLine="392"/>
        <w:spacing w:after="0" w:line="261" w:lineRule="auto"/>
        <w:tabs>
          <w:tab w:leader="none" w:pos="44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Permits</w:t>
      </w:r>
      <w:r>
        <w:rPr>
          <w:rFonts w:ascii="Times New Roman" w:cs="Times New Roman" w:eastAsia="Times New Roman" w:hAnsi="Times New Roman"/>
          <w:sz w:val="18"/>
          <w:szCs w:val="18"/>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would not reasonably be expected to result in a Material Adverse Effect (“</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and neither the Company nor any Subsidiary has received any notice of proceedings relating to the revocation or modification of any Material Permit.</w:t>
      </w:r>
    </w:p>
    <w:p>
      <w:pPr>
        <w:spacing w:after="0" w:line="179" w:lineRule="exact"/>
        <w:rPr>
          <w:rFonts w:ascii="Times New Roman" w:cs="Times New Roman" w:eastAsia="Times New Roman" w:hAnsi="Times New Roman"/>
          <w:sz w:val="18"/>
          <w:szCs w:val="18"/>
          <w:color w:val="auto"/>
        </w:rPr>
      </w:pPr>
    </w:p>
    <w:p>
      <w:pPr>
        <w:jc w:val="both"/>
        <w:ind w:left="-392" w:firstLine="392"/>
        <w:spacing w:after="0" w:line="255" w:lineRule="auto"/>
        <w:tabs>
          <w:tab w:leader="none" w:pos="39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p>
      <w:pPr>
        <w:spacing w:after="0" w:line="188" w:lineRule="exact"/>
        <w:rPr>
          <w:rFonts w:ascii="Times New Roman" w:cs="Times New Roman" w:eastAsia="Times New Roman" w:hAnsi="Times New Roman"/>
          <w:sz w:val="18"/>
          <w:szCs w:val="18"/>
          <w:color w:val="auto"/>
        </w:rPr>
      </w:pPr>
    </w:p>
    <w:p>
      <w:pPr>
        <w:jc w:val="both"/>
        <w:ind w:left="-392" w:firstLine="392"/>
        <w:spacing w:after="0" w:line="253" w:lineRule="auto"/>
        <w:tabs>
          <w:tab w:leader="none" w:pos="44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To the knowledge of the Company,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would have a Material Adverse Effect (collectively, the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except as would not be reasonably expected to have a Material Adverse Effect or as disclosed in the SEC Reports.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would not have or reasonably be expected to not have a Material Adverse Effect or as disclosed in the SEC Reports.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would not, individually or in the aggregate, reasonably be expected to have a Material Adverse Effect.</w:t>
      </w:r>
    </w:p>
    <w:p>
      <w:pPr>
        <w:spacing w:after="0" w:line="187" w:lineRule="exact"/>
        <w:rPr>
          <w:sz w:val="20"/>
          <w:szCs w:val="20"/>
          <w:color w:val="auto"/>
        </w:rPr>
      </w:pPr>
    </w:p>
    <w:p>
      <w:pPr>
        <w:ind w:left="4488"/>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-662305</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88"/>
          </w:cols>
          <w:pgMar w:left="1372" w:top="580" w:right="339" w:bottom="1440" w:gutter="0" w:footer="0" w:header="0"/>
        </w:sectPr>
      </w:pPr>
    </w:p>
    <w:bookmarkStart w:id="60" w:name="page61"/>
    <w:bookmarkEnd w:id="60"/>
    <w:p>
      <w:pPr>
        <w:jc w:val="both"/>
        <w:ind w:left="-392" w:firstLine="392"/>
        <w:spacing w:after="0" w:line="258" w:lineRule="auto"/>
        <w:tabs>
          <w:tab w:leader="none" w:pos="46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in such amounts as the Company reasonably believes is adequate for its business. Neither the Company nor any Subsidiary has been advised that it will not be able to renew its existing insurance coverage as and when such coverage expires or to obtain similar coverage from similar insurers as may be necessary to continue its business without a significant increase in cost.</w:t>
      </w:r>
    </w:p>
    <w:p>
      <w:pPr>
        <w:spacing w:after="0" w:line="183" w:lineRule="exact"/>
        <w:rPr>
          <w:rFonts w:ascii="Times New Roman" w:cs="Times New Roman" w:eastAsia="Times New Roman" w:hAnsi="Times New Roman"/>
          <w:sz w:val="18"/>
          <w:szCs w:val="18"/>
          <w:color w:val="auto"/>
        </w:rPr>
      </w:pPr>
    </w:p>
    <w:p>
      <w:pPr>
        <w:jc w:val="both"/>
        <w:ind w:left="-392" w:firstLine="392"/>
        <w:spacing w:after="0" w:line="254" w:lineRule="auto"/>
        <w:tabs>
          <w:tab w:leader="none" w:pos="36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With Affiliates and Employees</w:t>
      </w:r>
      <w:r>
        <w:rPr>
          <w:rFonts w:ascii="Times New Roman" w:cs="Times New Roman" w:eastAsia="Times New Roman" w:hAnsi="Times New Roman"/>
          <w:sz w:val="18"/>
          <w:szCs w:val="18"/>
          <w:color w:val="auto"/>
        </w:rPr>
        <w:t>. Except as set forth in the SEC Reports,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and in which the officer, director or employee has a direct or indirect material interest other than for (i) payment of salary or consulting fees for services rendered, (ii) reimbursement for expenses incurred on behalf of the Company and (iii) other employee benefits, including stock option agreements under any stock option plan of the Company.</w:t>
      </w:r>
    </w:p>
    <w:p>
      <w:pPr>
        <w:spacing w:after="0" w:line="188" w:lineRule="exact"/>
        <w:rPr>
          <w:sz w:val="20"/>
          <w:szCs w:val="20"/>
          <w:color w:val="auto"/>
        </w:rPr>
      </w:pPr>
    </w:p>
    <w:p>
      <w:pPr>
        <w:ind w:left="4488"/>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-662305</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88"/>
          </w:cols>
          <w:pgMar w:left="1372" w:top="580" w:right="339" w:bottom="1440" w:gutter="0" w:footer="0" w:header="0"/>
        </w:sectPr>
      </w:pPr>
    </w:p>
    <w:bookmarkStart w:id="61" w:name="page62"/>
    <w:bookmarkEnd w:id="61"/>
    <w:p>
      <w:pPr>
        <w:jc w:val="both"/>
        <w:ind w:left="-392" w:firstLine="392"/>
        <w:spacing w:after="0" w:line="252" w:lineRule="auto"/>
        <w:tabs>
          <w:tab w:leader="none" w:pos="40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Internal Accounting Controls</w:t>
      </w:r>
      <w:r>
        <w:rPr>
          <w:rFonts w:ascii="Times New Roman" w:cs="Times New Roman" w:eastAsia="Times New Roman" w:hAnsi="Times New Roman"/>
          <w:sz w:val="18"/>
          <w:szCs w:val="18"/>
          <w:color w:val="auto"/>
        </w:rPr>
        <w:t>. The Company and the Subsidiaries are in compliance in all material respects with any and all applicable requirements of the Sarbanes-Oxley Act of 2002, as amended, that are effective as of the date hereof, and any and all applicable rules and regulations promulgated by the Commission thereunder that are effective as of the date hereof and as of the Closing Date. Except as set forth in the SEC Reports,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set forth in the SEC Reports,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191" w:lineRule="exact"/>
        <w:rPr>
          <w:rFonts w:ascii="Times New Roman" w:cs="Times New Roman" w:eastAsia="Times New Roman" w:hAnsi="Times New Roman"/>
          <w:sz w:val="18"/>
          <w:szCs w:val="18"/>
          <w:color w:val="auto"/>
        </w:rPr>
      </w:pPr>
    </w:p>
    <w:p>
      <w:pPr>
        <w:jc w:val="both"/>
        <w:ind w:left="-392" w:firstLine="392"/>
        <w:spacing w:after="0" w:line="258" w:lineRule="auto"/>
        <w:tabs>
          <w:tab w:leader="none" w:pos="35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Except for fees payable by the Company to the Placement Agent,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183" w:lineRule="exact"/>
        <w:rPr>
          <w:rFonts w:ascii="Times New Roman" w:cs="Times New Roman" w:eastAsia="Times New Roman" w:hAnsi="Times New Roman"/>
          <w:sz w:val="18"/>
          <w:szCs w:val="18"/>
          <w:color w:val="auto"/>
        </w:rPr>
      </w:pPr>
    </w:p>
    <w:p>
      <w:pPr>
        <w:jc w:val="both"/>
        <w:ind w:left="-392" w:firstLine="392"/>
        <w:spacing w:after="0" w:line="261" w:lineRule="auto"/>
        <w:tabs>
          <w:tab w:leader="none" w:pos="40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179" w:lineRule="exact"/>
        <w:rPr>
          <w:rFonts w:ascii="Times New Roman" w:cs="Times New Roman" w:eastAsia="Times New Roman" w:hAnsi="Times New Roman"/>
          <w:sz w:val="18"/>
          <w:szCs w:val="18"/>
          <w:color w:val="auto"/>
        </w:rPr>
      </w:pPr>
    </w:p>
    <w:p>
      <w:pPr>
        <w:ind w:left="-392" w:firstLine="392"/>
        <w:spacing w:after="0" w:line="282" w:lineRule="auto"/>
        <w:tabs>
          <w:tab w:leader="none" w:pos="42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Except as set forth in the SEC Reports, no Person has any right to cause the Company or any Subsidiary to effect the registration under the Securities Act of any securities of the Company or any Subsidiary.</w:t>
      </w:r>
    </w:p>
    <w:p>
      <w:pPr>
        <w:spacing w:after="0" w:line="161" w:lineRule="exact"/>
        <w:rPr>
          <w:rFonts w:ascii="Times New Roman" w:cs="Times New Roman" w:eastAsia="Times New Roman" w:hAnsi="Times New Roman"/>
          <w:sz w:val="18"/>
          <w:szCs w:val="18"/>
          <w:color w:val="auto"/>
        </w:rPr>
      </w:pPr>
    </w:p>
    <w:p>
      <w:pPr>
        <w:jc w:val="both"/>
        <w:ind w:left="-392" w:firstLine="392"/>
        <w:spacing w:after="0" w:line="254" w:lineRule="auto"/>
        <w:tabs>
          <w:tab w:leader="none" w:pos="44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and Maintenance Requirements</w:t>
      </w:r>
      <w:r>
        <w:rPr>
          <w:rFonts w:ascii="Times New Roman" w:cs="Times New Roman" w:eastAsia="Times New Roman" w:hAnsi="Times New Roman"/>
          <w:sz w:val="18"/>
          <w:szCs w:val="18"/>
          <w:color w:val="auto"/>
        </w:rPr>
        <w:t>. The Common Stock is registered pursuant to Section 12(b) or 12(g) of the Exchange Act, and the Company has taken no action designed to terminate, or which to its knowledge is likely to have the effect of, terminating the registration of the Common Stock under the Exchange Act nor has the Company received any notification that the Commission is contemplating terminating such registration.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188" w:lineRule="exact"/>
        <w:rPr>
          <w:sz w:val="20"/>
          <w:szCs w:val="20"/>
          <w:color w:val="auto"/>
        </w:rPr>
      </w:pPr>
    </w:p>
    <w:p>
      <w:pPr>
        <w:ind w:left="4488"/>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-662305</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88"/>
          </w:cols>
          <w:pgMar w:left="1372" w:top="580" w:right="339" w:bottom="1440" w:gutter="0" w:footer="0" w:header="0"/>
        </w:sectPr>
      </w:pPr>
    </w:p>
    <w:bookmarkStart w:id="62" w:name="page63"/>
    <w:bookmarkEnd w:id="62"/>
    <w:p>
      <w:pPr>
        <w:jc w:val="both"/>
        <w:ind w:left="-392" w:firstLine="392"/>
        <w:spacing w:after="0" w:line="219" w:lineRule="exact"/>
        <w:tabs>
          <w:tab w:leader="none" w:pos="39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Takeover Protections</w:t>
      </w:r>
      <w:r>
        <w:rPr>
          <w:rFonts w:ascii="Times New Roman" w:cs="Times New Roman" w:eastAsia="Times New Roman" w:hAnsi="Times New Roman"/>
          <w:sz w:val="18"/>
          <w:szCs w:val="18"/>
          <w:color w:val="auto"/>
        </w:rPr>
        <w:t>. The Company and the Board of Directors have taken all necessary action, if any, in order to render inapplicable any control share acquisition, business combination, poison pill (including any distribution under a rights agreement) or other similar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w:t>
      </w:r>
    </w:p>
    <w:p>
      <w:pPr>
        <w:spacing w:after="0" w:line="202" w:lineRule="exact"/>
        <w:rPr>
          <w:rFonts w:ascii="Times New Roman" w:cs="Times New Roman" w:eastAsia="Times New Roman" w:hAnsi="Times New Roman"/>
          <w:sz w:val="18"/>
          <w:szCs w:val="18"/>
          <w:color w:val="auto"/>
        </w:rPr>
      </w:pPr>
    </w:p>
    <w:p>
      <w:pPr>
        <w:jc w:val="both"/>
        <w:ind w:left="-392" w:firstLine="392"/>
        <w:spacing w:after="0" w:line="253" w:lineRule="auto"/>
        <w:tabs>
          <w:tab w:leader="none" w:pos="43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which is not otherwise disclosed in the Prospectus Supplement.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is true and correct in all material respects as of the date made and does not contain any untrue statement of a material fact or omit to state any material fact necessary in order to make the statements made therein, in the light of the circumstances under which they were made, not misleading. The Company acknowledges and agrees that no Purchaser makes or has made any representations or warranties with respect to the transactions contemplated hereby other than those specifically set forth in Section 3.2 hereof.</w:t>
      </w:r>
    </w:p>
    <w:p>
      <w:pPr>
        <w:spacing w:after="0" w:line="194" w:lineRule="exact"/>
        <w:rPr>
          <w:rFonts w:ascii="Times New Roman" w:cs="Times New Roman" w:eastAsia="Times New Roman" w:hAnsi="Times New Roman"/>
          <w:sz w:val="18"/>
          <w:szCs w:val="18"/>
          <w:color w:val="auto"/>
        </w:rPr>
      </w:pPr>
    </w:p>
    <w:p>
      <w:pPr>
        <w:jc w:val="both"/>
        <w:ind w:left="-392" w:firstLine="392"/>
        <w:spacing w:after="0" w:line="258" w:lineRule="auto"/>
        <w:tabs>
          <w:tab w:leader="none" w:pos="4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Integrated Offering</w:t>
      </w:r>
      <w:r>
        <w:rPr>
          <w:rFonts w:ascii="Times New Roman" w:cs="Times New Roman" w:eastAsia="Times New Roman" w:hAnsi="Times New Roman"/>
          <w:sz w:val="18"/>
          <w:szCs w:val="18"/>
          <w:color w:val="auto"/>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any applicable shareholder approval provisions of any Trading Market on which any of the securities of the Company are listed or designated.</w:t>
      </w:r>
    </w:p>
    <w:p>
      <w:pPr>
        <w:spacing w:after="0" w:line="183" w:lineRule="exact"/>
        <w:rPr>
          <w:sz w:val="20"/>
          <w:szCs w:val="20"/>
          <w:color w:val="auto"/>
        </w:rPr>
      </w:pPr>
    </w:p>
    <w:p>
      <w:pPr>
        <w:ind w:left="4488"/>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-662305</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88"/>
          </w:cols>
          <w:pgMar w:left="1372" w:top="580" w:right="339" w:bottom="1440" w:gutter="0" w:footer="0" w:header="0"/>
        </w:sectPr>
      </w:pPr>
    </w:p>
    <w:bookmarkStart w:id="63" w:name="page64"/>
    <w:bookmarkEnd w:id="63"/>
    <w:p>
      <w:pPr>
        <w:jc w:val="both"/>
        <w:ind w:left="4" w:firstLine="392"/>
        <w:spacing w:after="0" w:line="252" w:lineRule="auto"/>
        <w:tabs>
          <w:tab w:leader="none" w:pos="913"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Except as disclosed in the SEC Reports, based on the consolidated financial condition of the Company as of the Closing Date,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The SEC Reports set forth as of the dates thereof all outstanding secured and unsecured Indebtedness of the Company or any Subsidiary, or for which the Company or any Subsidiary has commitments. For the purposes of this Agreement,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(x) any liabilities for borrowed money or amounts owed in excess of $50,000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 Neither the Company nor any Subsidiary is in default with respect to any Indebtedness.</w:t>
      </w:r>
    </w:p>
    <w:p>
      <w:pPr>
        <w:spacing w:after="0" w:line="191" w:lineRule="exact"/>
        <w:rPr>
          <w:rFonts w:ascii="Times New Roman" w:cs="Times New Roman" w:eastAsia="Times New Roman" w:hAnsi="Times New Roman"/>
          <w:sz w:val="18"/>
          <w:szCs w:val="18"/>
          <w:color w:val="auto"/>
        </w:rPr>
      </w:pPr>
    </w:p>
    <w:p>
      <w:pPr>
        <w:jc w:val="both"/>
        <w:ind w:left="4" w:firstLine="392"/>
        <w:spacing w:after="0" w:line="255" w:lineRule="auto"/>
        <w:tabs>
          <w:tab w:leader="none" w:pos="893"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Status</w:t>
      </w:r>
      <w:r>
        <w:rPr>
          <w:rFonts w:ascii="Times New Roman" w:cs="Times New Roman" w:eastAsia="Times New Roman" w:hAnsi="Times New Roman"/>
          <w:sz w:val="18"/>
          <w:szCs w:val="18"/>
          <w:color w:val="auto"/>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w:t>
      </w:r>
    </w:p>
    <w:p>
      <w:pPr>
        <w:spacing w:after="0" w:line="2" w:lineRule="exact"/>
        <w:rPr>
          <w:rFonts w:ascii="Times New Roman" w:cs="Times New Roman" w:eastAsia="Times New Roman" w:hAnsi="Times New Roman"/>
          <w:sz w:val="18"/>
          <w:szCs w:val="18"/>
          <w:color w:val="auto"/>
        </w:rPr>
      </w:pPr>
    </w:p>
    <w:p>
      <w:pPr>
        <w:jc w:val="both"/>
        <w:ind w:left="4" w:hanging="4"/>
        <w:spacing w:after="0" w:line="255" w:lineRule="auto"/>
        <w:tabs>
          <w:tab w:leader="none" w:pos="32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spacing w:after="0" w:line="185" w:lineRule="exact"/>
        <w:rPr>
          <w:rFonts w:ascii="Times New Roman" w:cs="Times New Roman" w:eastAsia="Times New Roman" w:hAnsi="Times New Roman"/>
          <w:sz w:val="18"/>
          <w:szCs w:val="18"/>
          <w:color w:val="auto"/>
        </w:rPr>
      </w:pPr>
    </w:p>
    <w:p>
      <w:pPr>
        <w:jc w:val="both"/>
        <w:ind w:left="4" w:firstLine="392"/>
        <w:spacing w:after="0" w:line="256" w:lineRule="auto"/>
        <w:tabs>
          <w:tab w:leader="none" w:pos="913"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w:t>
      </w:r>
      <w:r>
        <w:rPr>
          <w:rFonts w:ascii="Times New Roman" w:cs="Times New Roman" w:eastAsia="Times New Roman" w:hAnsi="Times New Roman"/>
          <w:sz w:val="18"/>
          <w:szCs w:val="18"/>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spacing w:after="0" w:line="187"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80" w:right="339" w:bottom="1440" w:gutter="0" w:footer="0" w:header="0"/>
        </w:sectPr>
      </w:pPr>
    </w:p>
    <w:bookmarkStart w:id="64" w:name="page65"/>
    <w:bookmarkEnd w:id="64"/>
    <w:p>
      <w:pPr>
        <w:jc w:val="both"/>
        <w:ind w:left="-392" w:right="20" w:firstLine="392"/>
        <w:spacing w:after="0" w:line="266" w:lineRule="auto"/>
        <w:tabs>
          <w:tab w:leader="none" w:pos="53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Accountants</w:t>
      </w:r>
      <w:r>
        <w:rPr>
          <w:rFonts w:ascii="Times New Roman" w:cs="Times New Roman" w:eastAsia="Times New Roman" w:hAnsi="Times New Roman"/>
          <w:sz w:val="18"/>
          <w:szCs w:val="18"/>
          <w:color w:val="auto"/>
        </w:rPr>
        <w:t>. The Company’s accounting firm is set forth in the SEC Reports. To the knowledge and belief of the Company, such accounting firm (i) is a registered public accounting firm as required by the Exchange Act and (ii) has expressed its opinion with respect to the financial statements included in the Company’s Annual Report for the fiscal year ending December 31, 2025.</w:t>
      </w:r>
    </w:p>
    <w:p>
      <w:pPr>
        <w:spacing w:after="0" w:line="175" w:lineRule="exact"/>
        <w:rPr>
          <w:rFonts w:ascii="Times New Roman" w:cs="Times New Roman" w:eastAsia="Times New Roman" w:hAnsi="Times New Roman"/>
          <w:sz w:val="18"/>
          <w:szCs w:val="18"/>
          <w:color w:val="auto"/>
        </w:rPr>
      </w:pPr>
    </w:p>
    <w:p>
      <w:pPr>
        <w:jc w:val="both"/>
        <w:ind w:left="-392" w:firstLine="392"/>
        <w:spacing w:after="0" w:line="254" w:lineRule="auto"/>
        <w:tabs>
          <w:tab w:leader="none" w:pos="53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Purchase of Securities</w:t>
      </w:r>
      <w:r>
        <w:rPr>
          <w:rFonts w:ascii="Times New Roman" w:cs="Times New Roman" w:eastAsia="Times New Roman" w:hAnsi="Times New Roman"/>
          <w:sz w:val="18"/>
          <w:szCs w:val="18"/>
          <w:color w:val="auto"/>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191" w:lineRule="exact"/>
        <w:rPr>
          <w:rFonts w:ascii="Times New Roman" w:cs="Times New Roman" w:eastAsia="Times New Roman" w:hAnsi="Times New Roman"/>
          <w:sz w:val="18"/>
          <w:szCs w:val="18"/>
          <w:color w:val="auto"/>
        </w:rPr>
      </w:pPr>
    </w:p>
    <w:p>
      <w:pPr>
        <w:jc w:val="both"/>
        <w:ind w:left="-392" w:firstLine="392"/>
        <w:spacing w:after="0" w:line="252" w:lineRule="auto"/>
        <w:tabs>
          <w:tab w:leader="none" w:pos="62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Trading Activity</w:t>
      </w:r>
      <w:r>
        <w:rPr>
          <w:rFonts w:ascii="Times New Roman" w:cs="Times New Roman" w:eastAsia="Times New Roman" w:hAnsi="Times New Roman"/>
          <w:sz w:val="18"/>
          <w:szCs w:val="18"/>
          <w:color w:val="auto"/>
        </w:rPr>
        <w:t>. Anything in this Agreement or elsewhere herein to the contrary notwithstanding (except for Sections 3.2(f) and 4.13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Common Stock,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including, without limitation, during the periods that the value of the Warrant Shares deliverable with respect to Securities are being determined,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spacing w:after="0" w:line="197" w:lineRule="exact"/>
        <w:rPr>
          <w:sz w:val="20"/>
          <w:szCs w:val="20"/>
          <w:color w:val="auto"/>
        </w:rPr>
      </w:pPr>
    </w:p>
    <w:p>
      <w:pPr>
        <w:ind w:left="4488"/>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-662305</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88"/>
          </w:cols>
          <w:pgMar w:left="1372" w:top="580" w:right="339" w:bottom="1440" w:gutter="0" w:footer="0" w:header="0"/>
        </w:sectPr>
      </w:pPr>
    </w:p>
    <w:bookmarkStart w:id="65" w:name="page66"/>
    <w:bookmarkEnd w:id="65"/>
    <w:p>
      <w:pPr>
        <w:jc w:val="both"/>
        <w:ind w:left="4" w:firstLine="392"/>
        <w:spacing w:after="0" w:line="257" w:lineRule="auto"/>
        <w:tabs>
          <w:tab w:leader="none" w:pos="988"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Regulation M Compliance</w:t>
      </w:r>
      <w:r>
        <w:rPr>
          <w:rFonts w:ascii="Times New Roman" w:cs="Times New Roman" w:eastAsia="Times New Roman" w:hAnsi="Times New Roman"/>
          <w:sz w:val="18"/>
          <w:szCs w:val="18"/>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w:t>
      </w:r>
    </w:p>
    <w:p>
      <w:pPr>
        <w:spacing w:after="0" w:line="1" w:lineRule="exact"/>
        <w:rPr>
          <w:rFonts w:ascii="Times New Roman" w:cs="Times New Roman" w:eastAsia="Times New Roman" w:hAnsi="Times New Roman"/>
          <w:sz w:val="18"/>
          <w:szCs w:val="18"/>
          <w:color w:val="auto"/>
        </w:rPr>
      </w:pPr>
    </w:p>
    <w:p>
      <w:pPr>
        <w:ind w:left="4" w:hanging="4"/>
        <w:spacing w:after="0" w:line="260" w:lineRule="auto"/>
        <w:tabs>
          <w:tab w:leader="none" w:pos="31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or agreed to pay to any Person any compensation for soliciting another to purchase any other securities of the Company, other than, in the case of clauses (ii) and (iii), compensation paid to the Placement Agent in connection with the placement of the Securities.</w:t>
      </w:r>
    </w:p>
    <w:p>
      <w:pPr>
        <w:spacing w:after="0" w:line="181" w:lineRule="exact"/>
        <w:rPr>
          <w:rFonts w:ascii="Times New Roman" w:cs="Times New Roman" w:eastAsia="Times New Roman" w:hAnsi="Times New Roman"/>
          <w:sz w:val="18"/>
          <w:szCs w:val="18"/>
          <w:color w:val="auto"/>
        </w:rPr>
      </w:pPr>
    </w:p>
    <w:p>
      <w:pPr>
        <w:jc w:val="both"/>
        <w:ind w:left="4" w:firstLine="392"/>
        <w:spacing w:after="0" w:line="252" w:lineRule="auto"/>
        <w:tabs>
          <w:tab w:leader="none" w:pos="88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As to each product subject to the jurisdiction of the U.S. Food and Drug Administration (“</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under the Federal Food, Drug and Cosmetic Act, as amended, and the regulations thereunder (“</w:t>
      </w:r>
      <w:r>
        <w:rPr>
          <w:rFonts w:ascii="Times New Roman" w:cs="Times New Roman" w:eastAsia="Times New Roman" w:hAnsi="Times New Roman"/>
          <w:sz w:val="18"/>
          <w:szCs w:val="18"/>
          <w:u w:val="single" w:color="auto"/>
          <w:color w:val="auto"/>
        </w:rPr>
        <w:t>FDCA</w:t>
      </w:r>
      <w:r>
        <w:rPr>
          <w:rFonts w:ascii="Times New Roman" w:cs="Times New Roman" w:eastAsia="Times New Roman" w:hAnsi="Times New Roman"/>
          <w:sz w:val="18"/>
          <w:szCs w:val="18"/>
          <w:color w:val="auto"/>
        </w:rPr>
        <w:t>”) that is manufactured, packaged, labeled, tested, distributed, sold, and/or marketed by the Company or any of its Subsidiaries (each such product, a “</w:t>
      </w:r>
      <w:r>
        <w:rPr>
          <w:rFonts w:ascii="Times New Roman" w:cs="Times New Roman" w:eastAsia="Times New Roman" w:hAnsi="Times New Roman"/>
          <w:sz w:val="18"/>
          <w:szCs w:val="18"/>
          <w:u w:val="single" w:color="auto"/>
          <w:color w:val="auto"/>
        </w:rPr>
        <w:t>Pharmaceutical Product</w:t>
      </w:r>
      <w:r>
        <w:rPr>
          <w:rFonts w:ascii="Times New Roman" w:cs="Times New Roman" w:eastAsia="Times New Roman" w:hAnsi="Times New Roman"/>
          <w:sz w:val="18"/>
          <w:szCs w:val="18"/>
          <w:color w:val="auto"/>
        </w:rPr>
        <w:t>”), such Pharmaceutical Product is being manufactured, packaged, labeled, tested, distributed, sold and/or marketed by the Company in compliance with all applicable requirements under FDCA and similar laws, rules and regulations relating to registration, investigational use, premarket clearance, licensure, or application approval, good manufacturing practices, good laboratory practices, good clinical practices, product listing, quotas, labeling, advertising, record keeping and filing of reports, except where the failure to be in compliance would not have a Material Adverse Effect. There is no pending, completed or, to the Company's knowledge, threatened, action (including any lawsuit, arbitration, or legal or administrative or regulatory proceeding, charge, complaint, or investigation) against the Company or any of its Subsidiaries, and none of the Company or any of its Subsidiaries has received any notice, warning letter or other communication from the FDA or any other governmental entity, which (i) contests the premarket clearance, licensure, registration, or approval of, the uses of, the distribution of, the manufacturing or packaging of, the testing of, the sale of, or the labeling and promotion of any Pharmaceutical Product, (ii) withdraws its approval of, requests the recall, suspension, or seizure of, or withdraws or orders the withdrawal of advertising or sales promotional materials relating to, any Pharmaceutical Product, (iii) imposes a clinical hold on any clinical investigation by the Company or any of its Subsidiaries, (iv) enjoins production at any facility of the Company or any of its Subsidiaries, (v) enters or proposes to enter into a consent decree of permanent injunction with the Company or any of its Subsidiaries, or (vi) otherwise alleges any violation of any laws, rules or regulations by the Company or any of its Subsidiaries, and which, either individually or in the aggregate, would have a Material Adverse Effect. The properties, business and operations of the Company have been and are being conducted in all material respects in accordance with all applicable laws, rules and regulations of the FDA. The Company has not been informed by the FDA that the FDA will prohibit the marketing, sale, license or use in the United States of any product proposed to be developed, produced or marketed by the Company nor has the FDA expressed any concern as to approving or clearing for marketing any product being developed or proposed to be developed by the Company.</w:t>
      </w:r>
    </w:p>
    <w:p>
      <w:pPr>
        <w:spacing w:after="0" w:line="187" w:lineRule="exact"/>
        <w:rPr>
          <w:rFonts w:ascii="Times New Roman" w:cs="Times New Roman" w:eastAsia="Times New Roman" w:hAnsi="Times New Roman"/>
          <w:sz w:val="18"/>
          <w:szCs w:val="18"/>
          <w:color w:val="auto"/>
        </w:rPr>
      </w:pPr>
    </w:p>
    <w:p>
      <w:pPr>
        <w:jc w:val="both"/>
        <w:ind w:left="4" w:firstLine="392"/>
        <w:spacing w:after="0" w:line="256" w:lineRule="auto"/>
        <w:tabs>
          <w:tab w:leader="none" w:pos="827"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 Plans</w:t>
      </w:r>
      <w:r>
        <w:rPr>
          <w:rFonts w:ascii="Times New Roman" w:cs="Times New Roman" w:eastAsia="Times New Roman" w:hAnsi="Times New Roman"/>
          <w:sz w:val="18"/>
          <w:szCs w:val="18"/>
          <w:color w:val="auto"/>
        </w:rPr>
        <w:t>. Each stock option granted by the Company under the Company’s stock option plan was granted (i) in accordance with the terms of the Company’s stock option plan and (ii) with an exercise price at least equal to the fair market value of the Common Stock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187"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80" w:right="339" w:bottom="1440" w:gutter="0" w:footer="0" w:header="0"/>
        </w:sectPr>
      </w:pPr>
    </w:p>
    <w:bookmarkStart w:id="66" w:name="page67"/>
    <w:bookmarkEnd w:id="66"/>
    <w:p>
      <w:pPr>
        <w:jc w:val="both"/>
        <w:ind w:left="-392" w:firstLine="392"/>
        <w:spacing w:after="0" w:line="253" w:lineRule="auto"/>
        <w:tabs>
          <w:tab w:leader="none" w:pos="53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Cybersecurity</w:t>
      </w:r>
      <w:r>
        <w:rPr>
          <w:rFonts w:ascii="Times New Roman" w:cs="Times New Roman" w:eastAsia="Times New Roman" w:hAnsi="Times New Roman"/>
          <w:sz w:val="18"/>
          <w:szCs w:val="18"/>
          <w:color w:val="auto"/>
        </w:rPr>
        <w:t>. (i)(x) There has been no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 w:cs="Times New Roman" w:eastAsia="Times New Roman" w:hAnsi="Times New Roman"/>
          <w:sz w:val="18"/>
          <w:szCs w:val="18"/>
          <w:u w:val="single" w:color="auto"/>
          <w:color w:val="auto"/>
        </w:rPr>
        <w:t>IT Systems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Data</w:t>
      </w:r>
      <w:r>
        <w:rPr>
          <w:rFonts w:ascii="Times New Roman" w:cs="Times New Roman" w:eastAsia="Times New Roman" w:hAnsi="Times New Roman"/>
          <w:sz w:val="18"/>
          <w:szCs w:val="18"/>
          <w:color w:val="auto"/>
        </w:rPr>
        <w:t>”) and (y) the Company and the Subsidiaries have not been notified of, and has no knowledge of any event or condition that would reasonably be expected to result in, any security breach or other compromise to its IT Systems and Data; (ii)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 (iii) the Company and the Subsidiaries have implemented and maintained commercially reasonable safeguards to maintain and protect its material confidential information and the integrity, continuous operation, redundancy and security of all IT Systems and Data; and (iv) the Company and the Subsidiaries have implemented backup and disaster recovery technology consistent with industry standards and practices.</w:t>
      </w:r>
    </w:p>
    <w:p>
      <w:pPr>
        <w:spacing w:after="0" w:line="189" w:lineRule="exact"/>
        <w:rPr>
          <w:rFonts w:ascii="Times New Roman" w:cs="Times New Roman" w:eastAsia="Times New Roman" w:hAnsi="Times New Roman"/>
          <w:sz w:val="18"/>
          <w:szCs w:val="18"/>
          <w:color w:val="auto"/>
        </w:rPr>
      </w:pPr>
    </w:p>
    <w:p>
      <w:pPr>
        <w:jc w:val="both"/>
        <w:ind w:left="-392" w:firstLine="392"/>
        <w:spacing w:after="0" w:line="252" w:lineRule="auto"/>
        <w:tabs>
          <w:tab w:leader="none" w:pos="48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Data Privacy Laws</w:t>
      </w:r>
      <w:r>
        <w:rPr>
          <w:rFonts w:ascii="Times New Roman" w:cs="Times New Roman" w:eastAsia="Times New Roman" w:hAnsi="Times New Roman"/>
          <w:sz w:val="18"/>
          <w:szCs w:val="18"/>
          <w:color w:val="auto"/>
        </w:rPr>
        <w:t>. (i) The Company and the Subsidiaries are, and at all times during the last three (3) years were, in compliance with all applicable state, federal and foreign data privacy and security laws and regulations, including, without limitation, the European Union General Data Protection Regulation (“</w:t>
      </w:r>
      <w:r>
        <w:rPr>
          <w:rFonts w:ascii="Times New Roman" w:cs="Times New Roman" w:eastAsia="Times New Roman" w:hAnsi="Times New Roman"/>
          <w:sz w:val="18"/>
          <w:szCs w:val="18"/>
          <w:u w:val="single" w:color="auto"/>
          <w:color w:val="auto"/>
        </w:rPr>
        <w:t>GDPR</w:t>
      </w:r>
      <w:r>
        <w:rPr>
          <w:rFonts w:ascii="Times New Roman" w:cs="Times New Roman" w:eastAsia="Times New Roman" w:hAnsi="Times New Roman"/>
          <w:sz w:val="18"/>
          <w:szCs w:val="18"/>
          <w:color w:val="auto"/>
        </w:rPr>
        <w:t>”) (EU 2016/679) (collectively, “</w:t>
      </w:r>
      <w:r>
        <w:rPr>
          <w:rFonts w:ascii="Times New Roman" w:cs="Times New Roman" w:eastAsia="Times New Roman" w:hAnsi="Times New Roman"/>
          <w:sz w:val="18"/>
          <w:szCs w:val="18"/>
          <w:u w:val="single" w:color="auto"/>
          <w:color w:val="auto"/>
        </w:rPr>
        <w:t>Privacy Laws</w:t>
      </w:r>
      <w:r>
        <w:rPr>
          <w:rFonts w:ascii="Times New Roman" w:cs="Times New Roman" w:eastAsia="Times New Roman" w:hAnsi="Times New Roman"/>
          <w:sz w:val="18"/>
          <w:szCs w:val="18"/>
          <w:color w:val="auto"/>
        </w:rPr>
        <w:t>”); (ii) the Company and the Subsidiaries have in place, comply with, and take appropriate steps reasonably designed to ensure compliance with their policies and procedures relating to data privacy and security and the collection, storage, use, disclosure, handling and analysis of Personal Data (as defined below) (the “</w:t>
      </w:r>
      <w:r>
        <w:rPr>
          <w:rFonts w:ascii="Times New Roman" w:cs="Times New Roman" w:eastAsia="Times New Roman" w:hAnsi="Times New Roman"/>
          <w:sz w:val="18"/>
          <w:szCs w:val="18"/>
          <w:u w:val="single" w:color="auto"/>
          <w:color w:val="auto"/>
        </w:rPr>
        <w:t>Policies</w:t>
      </w:r>
      <w:r>
        <w:rPr>
          <w:rFonts w:ascii="Times New Roman" w:cs="Times New Roman" w:eastAsia="Times New Roman" w:hAnsi="Times New Roman"/>
          <w:sz w:val="18"/>
          <w:szCs w:val="18"/>
          <w:color w:val="auto"/>
        </w:rPr>
        <w:t>”); (iii) the Company provides accurate notice of its applicable Policies to its customers, employees, third party vendors and representatives as required by the Privacy Laws; and (iv) applicable Policies provide accurate and sufficient notice of the Company’s then-current privacy practices relating to its subject matter, and do not contain any material omissions of the Company’s then-current privacy practices, as required by Privacy Laws. “</w:t>
      </w: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means (i) a natural person’s name, street address, telephone number, email address, photograph, social security number, bank information, or customer or account number; (ii) any information which would qualify as “personally identifying information” under the Federal Trade Commission Act, as amended; (iii) “personal data” as defined by GDPR; and (iv) any other piece of information that allows the identification of such natural person, or his or her family, or permits the collection or analysis of any identifiable data related to an identified person’s health or sexual orientation. (i) None of such disclosures made or contained in any of the Policies have been inaccurate, misleading, or deceptive in violation of any Privacy Laws and (ii) the execution, delivery and performance of the Transaction Documents will not result in a breach of any Privacy Laws or Policies. Neither the Company nor the Subsidiaries (i) to the knowledge of the Company, has received written notice of any actual or potential liability of the Company or the Subsidiaries under, or actual or potential violation by the Company or the Subsidiaries of, any of the Privacy Laws; (ii) is currently conducting or paying for, in whole or in part, any investigation, remediation or other corrective action pursuant to any regulatory request or demand pursuant to any Privacy Law; or (iii) is a party to any order, decree, or agreement by or with any court or arbitrator or governmental or regulatory authority that imposed any obligation or liability under any Privacy Law.</w:t>
      </w:r>
    </w:p>
    <w:p>
      <w:pPr>
        <w:spacing w:after="0" w:line="189" w:lineRule="exact"/>
        <w:rPr>
          <w:sz w:val="20"/>
          <w:szCs w:val="20"/>
          <w:color w:val="auto"/>
        </w:rPr>
      </w:pPr>
    </w:p>
    <w:p>
      <w:pPr>
        <w:ind w:left="4488"/>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-662305</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88"/>
          </w:cols>
          <w:pgMar w:left="1372" w:top="580" w:right="339" w:bottom="1440" w:gutter="0" w:footer="0" w:header="0"/>
        </w:sectPr>
      </w:pPr>
    </w:p>
    <w:bookmarkStart w:id="67" w:name="page68"/>
    <w:bookmarkEnd w:id="67"/>
    <w:p>
      <w:pPr>
        <w:jc w:val="both"/>
        <w:ind w:left="-392" w:firstLine="392"/>
        <w:spacing w:after="0" w:line="266" w:lineRule="auto"/>
        <w:tabs>
          <w:tab w:leader="none" w:pos="47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 of Foreign Assets Control</w:t>
      </w:r>
      <w:r>
        <w:rPr>
          <w:rFonts w:ascii="Times New Roman" w:cs="Times New Roman" w:eastAsia="Times New Roman" w:hAnsi="Times New Roman"/>
          <w:sz w:val="18"/>
          <w:szCs w:val="18"/>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392" w:firstLine="392"/>
        <w:spacing w:after="0" w:line="282" w:lineRule="auto"/>
        <w:tabs>
          <w:tab w:leader="none" w:pos="58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 Real Property Holding Corporation</w:t>
      </w:r>
      <w:r>
        <w:rPr>
          <w:rFonts w:ascii="Times New Roman" w:cs="Times New Roman" w:eastAsia="Times New Roman" w:hAnsi="Times New Roman"/>
          <w:sz w:val="18"/>
          <w:szCs w:val="18"/>
          <w:color w:val="auto"/>
        </w:rPr>
        <w:t>. The Company is not and has never been a U.S. real property holding corporation within the meaning of Section 897 of the Internal Revenue Code of 1986, as amended, and the Company shall so certify upon Purchaser’s request.</w:t>
      </w:r>
    </w:p>
    <w:p>
      <w:pPr>
        <w:spacing w:after="0" w:line="161" w:lineRule="exact"/>
        <w:rPr>
          <w:rFonts w:ascii="Times New Roman" w:cs="Times New Roman" w:eastAsia="Times New Roman" w:hAnsi="Times New Roman"/>
          <w:sz w:val="18"/>
          <w:szCs w:val="18"/>
          <w:color w:val="auto"/>
        </w:rPr>
      </w:pPr>
    </w:p>
    <w:p>
      <w:pPr>
        <w:jc w:val="both"/>
        <w:ind w:left="-392" w:firstLine="392"/>
        <w:spacing w:after="0" w:line="256" w:lineRule="auto"/>
        <w:tabs>
          <w:tab w:leader="none" w:pos="51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 Holding Company Act</w:t>
      </w:r>
      <w:r>
        <w:rPr>
          <w:rFonts w:ascii="Times New Roman" w:cs="Times New Roman" w:eastAsia="Times New Roman" w:hAnsi="Times New Roman"/>
          <w:sz w:val="18"/>
          <w:szCs w:val="18"/>
          <w:color w:val="auto"/>
        </w:rPr>
        <w:t>. Neither the Company nor any of its Subsidiaries or Affiliates is subject to the Bank Holding Company Act of 1956, as amended (the “</w:t>
      </w:r>
      <w:r>
        <w:rPr>
          <w:rFonts w:ascii="Times New Roman" w:cs="Times New Roman" w:eastAsia="Times New Roman" w:hAnsi="Times New Roman"/>
          <w:sz w:val="18"/>
          <w:szCs w:val="18"/>
          <w:u w:val="single" w:color="auto"/>
          <w:color w:val="auto"/>
        </w:rPr>
        <w:t>BHCA</w:t>
      </w:r>
      <w:r>
        <w:rPr>
          <w:rFonts w:ascii="Times New Roman" w:cs="Times New Roman" w:eastAsia="Times New Roman" w:hAnsi="Times New Roman"/>
          <w:sz w:val="18"/>
          <w:szCs w:val="18"/>
          <w:color w:val="auto"/>
        </w:rPr>
        <w:t>”) and to regulation by the Board of Governors of the Federal Reserve System (the “</w:t>
      </w:r>
      <w:r>
        <w:rPr>
          <w:rFonts w:ascii="Times New Roman" w:cs="Times New Roman" w:eastAsia="Times New Roman" w:hAnsi="Times New Roman"/>
          <w:sz w:val="18"/>
          <w:szCs w:val="18"/>
          <w:u w:val="single" w:color="auto"/>
          <w:color w:val="auto"/>
        </w:rPr>
        <w:t>Federal Reserve</w:t>
      </w:r>
      <w:r>
        <w:rPr>
          <w:rFonts w:ascii="Times New Roman" w:cs="Times New Roman" w:eastAsia="Times New Roman" w:hAnsi="Times New Roman"/>
          <w:sz w:val="18"/>
          <w:szCs w:val="18"/>
          <w:color w:val="auto"/>
        </w:rPr>
        <w:t>”). Neither the Company nor any of its Subsidiaries or Affiliates owns or controls, directly or indirectly, five percent (5%) or more of the outstanding shares of any class of voting securities or twenty-five percent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187" w:lineRule="exact"/>
        <w:rPr>
          <w:rFonts w:ascii="Times New Roman" w:cs="Times New Roman" w:eastAsia="Times New Roman" w:hAnsi="Times New Roman"/>
          <w:sz w:val="18"/>
          <w:szCs w:val="18"/>
          <w:color w:val="auto"/>
        </w:rPr>
      </w:pPr>
    </w:p>
    <w:p>
      <w:pPr>
        <w:jc w:val="both"/>
        <w:ind w:left="-392" w:firstLine="392"/>
        <w:spacing w:after="0" w:line="258" w:lineRule="auto"/>
        <w:tabs>
          <w:tab w:leader="none" w:pos="49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183" w:lineRule="exact"/>
        <w:rPr>
          <w:sz w:val="20"/>
          <w:szCs w:val="20"/>
          <w:color w:val="auto"/>
        </w:rPr>
      </w:pPr>
    </w:p>
    <w:p>
      <w:pPr>
        <w:ind w:left="4488"/>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-662305</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88"/>
          </w:cols>
          <w:pgMar w:left="1372" w:top="580" w:right="339" w:bottom="1440" w:gutter="0" w:footer="0" w:header="0"/>
        </w:sectPr>
      </w:pPr>
    </w:p>
    <w:bookmarkStart w:id="68" w:name="page69"/>
    <w:bookmarkEnd w:id="6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Representations and Warranties of the Purchasers</w:t>
      </w:r>
      <w:r>
        <w:rPr>
          <w:rFonts w:ascii="Times New Roman" w:cs="Times New Roman" w:eastAsia="Times New Roman" w:hAnsi="Times New Roman"/>
          <w:sz w:val="18"/>
          <w:szCs w:val="18"/>
          <w:color w:val="auto"/>
        </w:rPr>
        <w:t>. Each Purchaser, for itself and for no other Purchaser, hereby represents and warrants as of the date hereof and as of the Closing Date to the Company as follows (unless as of a specific date therein, in which case they shall be accurate as of such date):</w:t>
      </w:r>
    </w:p>
    <w:p>
      <w:pPr>
        <w:spacing w:after="0" w:line="176" w:lineRule="exact"/>
        <w:rPr>
          <w:sz w:val="20"/>
          <w:szCs w:val="20"/>
          <w:color w:val="auto"/>
        </w:rPr>
      </w:pPr>
    </w:p>
    <w:p>
      <w:pPr>
        <w:jc w:val="both"/>
        <w:ind w:left="660" w:firstLine="392"/>
        <w:spacing w:after="0" w:line="253" w:lineRule="auto"/>
        <w:tabs>
          <w:tab w:leader="none" w:pos="1462"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Authority</w:t>
      </w:r>
      <w:r>
        <w:rPr>
          <w:rFonts w:ascii="Times New Roman" w:cs="Times New Roman" w:eastAsia="Times New Roman" w:hAnsi="Times New Roman"/>
          <w:sz w:val="18"/>
          <w:szCs w:val="18"/>
          <w:color w:val="auto"/>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1" w:lineRule="exact"/>
        <w:rPr>
          <w:rFonts w:ascii="Times New Roman" w:cs="Times New Roman" w:eastAsia="Times New Roman" w:hAnsi="Times New Roman"/>
          <w:sz w:val="18"/>
          <w:szCs w:val="18"/>
          <w:color w:val="auto"/>
        </w:rPr>
      </w:pPr>
    </w:p>
    <w:p>
      <w:pPr>
        <w:jc w:val="both"/>
        <w:ind w:left="660" w:firstLine="392"/>
        <w:spacing w:after="0" w:line="261" w:lineRule="auto"/>
        <w:tabs>
          <w:tab w:leader="none" w:pos="1527"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Understandings or Arrangements</w:t>
      </w:r>
      <w:r>
        <w:rPr>
          <w:rFonts w:ascii="Times New Roman" w:cs="Times New Roman" w:eastAsia="Times New Roman" w:hAnsi="Times New Roman"/>
          <w:sz w:val="18"/>
          <w:szCs w:val="18"/>
          <w:color w:val="auto"/>
        </w:rPr>
        <w:t>. Such Purchaser is acquiring the Securities as principal for its own account and has no direct or indirect arrangement or understandings with any other persons to distribute or regarding the distribution of such Securities (this representation and warranty not limiting such Purchaser’s right to sell the Securities pursuant to the Registration Statement or otherwise in compliance with applicable federal and state securities laws). Such Purchaser is acquiring the Securities hereunder in the ordinary course of its business.</w:t>
      </w:r>
    </w:p>
    <w:p>
      <w:pPr>
        <w:spacing w:after="0" w:line="179" w:lineRule="exact"/>
        <w:rPr>
          <w:rFonts w:ascii="Times New Roman" w:cs="Times New Roman" w:eastAsia="Times New Roman" w:hAnsi="Times New Roman"/>
          <w:sz w:val="18"/>
          <w:szCs w:val="18"/>
          <w:color w:val="auto"/>
        </w:rPr>
      </w:pPr>
    </w:p>
    <w:p>
      <w:pPr>
        <w:jc w:val="both"/>
        <w:ind w:left="660" w:right="20" w:firstLine="392"/>
        <w:spacing w:after="0" w:line="261" w:lineRule="auto"/>
        <w:tabs>
          <w:tab w:leader="none" w:pos="1489"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Purchaser Status</w:t>
      </w:r>
      <w:r>
        <w:rPr>
          <w:rFonts w:ascii="Times New Roman" w:cs="Times New Roman" w:eastAsia="Times New Roman" w:hAnsi="Times New Roman"/>
          <w:sz w:val="18"/>
          <w:szCs w:val="18"/>
          <w:color w:val="auto"/>
        </w:rPr>
        <w:t>. At the time such Purchaser was offered the Securities, it was, and as of the date hereof it is, and on each date on which it exercises any Warrants, it will be an “accredited investor” as defined in Rule 501(a)(1), (a)(2), (a)(3), (a)(7), (a)(8), (a)(9), (a)(12) or (a)</w:t>
      </w:r>
    </w:p>
    <w:p>
      <w:pPr>
        <w:ind w:left="1000" w:hanging="344"/>
        <w:spacing w:after="0"/>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Securities Act.</w:t>
      </w:r>
    </w:p>
    <w:p>
      <w:pPr>
        <w:spacing w:after="0" w:line="206" w:lineRule="exact"/>
        <w:rPr>
          <w:rFonts w:ascii="Times New Roman" w:cs="Times New Roman" w:eastAsia="Times New Roman" w:hAnsi="Times New Roman"/>
          <w:sz w:val="18"/>
          <w:szCs w:val="18"/>
          <w:color w:val="auto"/>
        </w:rPr>
      </w:pPr>
    </w:p>
    <w:p>
      <w:pPr>
        <w:jc w:val="both"/>
        <w:ind w:left="660" w:firstLine="392"/>
        <w:spacing w:after="0" w:line="261" w:lineRule="auto"/>
        <w:tabs>
          <w:tab w:leader="none" w:pos="1446"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Experience of Such Purchaser</w:t>
      </w:r>
      <w:r>
        <w:rPr>
          <w:rFonts w:ascii="Times New Roman" w:cs="Times New Roman" w:eastAsia="Times New Roman" w:hAnsi="Times New Roman"/>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spacing w:after="0" w:line="179" w:lineRule="exact"/>
        <w:rPr>
          <w:rFonts w:ascii="Times New Roman" w:cs="Times New Roman" w:eastAsia="Times New Roman" w:hAnsi="Times New Roman"/>
          <w:sz w:val="18"/>
          <w:szCs w:val="18"/>
          <w:color w:val="auto"/>
        </w:rPr>
      </w:pPr>
    </w:p>
    <w:p>
      <w:pPr>
        <w:jc w:val="both"/>
        <w:ind w:left="660" w:firstLine="392"/>
        <w:spacing w:after="0" w:line="253" w:lineRule="auto"/>
        <w:tabs>
          <w:tab w:leader="none" w:pos="1476"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 nor any Affiliate of the Placement Agent has provided such Purchaser with any information or advice with respect to the Securities nor is such information or advice necessary or desired. Neither the Placement Agent nor any Affiliate has made or makes any representation as to the Company or the quality of the Securities and the Placement Agent and any Affiliate may have acquired non-public information with respect to the Company which such Purchaser agrees need not be provided to it. In connection with the issuance of the Securities to such Purchaser, neither the Placement Agent nor any of its Affiliates has acted as a financial advisor or fiduciary to such Purchaser.</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9" w:name="page70"/>
    <w:bookmarkEnd w:id="69"/>
    <w:p>
      <w:pPr>
        <w:jc w:val="both"/>
        <w:ind w:left="660" w:firstLine="392"/>
        <w:spacing w:after="0" w:line="252" w:lineRule="auto"/>
        <w:tabs>
          <w:tab w:leader="none" w:pos="145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OTHER AGREEMENTS OF THE PARTIES</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The Shares shall be issued free of legends. If all or any portion of a Pre-Funded Warrant is exercised at a time when there is an effective registration statement to cover the issuance or resale of the Pre-Funded Warrant Shares or if the Pre-Funded Warrant is exercised via cashless exercise, the Pre-Funded Warrant Shares issued pursuant to any such exercise shall be issued free of all legends. If at any time following the date hereof the Registration Statement (or any subsequent registration statement registering the sale or resale of the Pre-Funded Warrant Shares) is not effective or is not otherwise available for the sale or resale of the Pre-Funded Warrant Shares, the Company shall immediately notify the holders of the Pre-Funded Warrants in writing that such registration statement is not then effective and thereafter shall promptly notify such holders when the registration statement is effective again and available for the sale or resale of the Pre-Funded Warrant Shares (it being understood and agreed that the foregoing shall not limit the ability of the Company to issue, or any Purchaser to sell, any of the Pre-Funded Warrant Shares in compliance with applicable federal and state securities laws). The Company shall use reasonable best efforts to keep a registration statement (including the Registration Statement) registering the issuance or resale of the Pre-Funded Warrant Shares effective during the term of the Pre-Funded Warrants.</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Furnishing of Information</w:t>
      </w:r>
      <w:r>
        <w:rPr>
          <w:rFonts w:ascii="Times New Roman" w:cs="Times New Roman" w:eastAsia="Times New Roman" w:hAnsi="Times New Roman"/>
          <w:sz w:val="18"/>
          <w:szCs w:val="18"/>
          <w:color w:val="auto"/>
        </w:rPr>
        <w:t>. Until the earlier of the time that (i) no Purchaser owns Securities or (ii) the Warrants have expired, the Company covenants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The Company shall not sell, offer for sale or solicit offers to buy or otherwise negotiate in respect of any security (as defined in Section 2 of the Securities Act)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Securities Laws Disclosure; Publicity</w:t>
      </w:r>
      <w:r>
        <w:rPr>
          <w:rFonts w:ascii="Times New Roman" w:cs="Times New Roman" w:eastAsia="Times New Roman" w:hAnsi="Times New Roman"/>
          <w:sz w:val="18"/>
          <w:szCs w:val="18"/>
          <w:color w:val="auto"/>
        </w:rPr>
        <w:t>. The Company shall (a) by the Disclosure Time, issue a press release disclosing the material terms of the transactions contemplated hereby, and (b) file a Current Report on Form 8-K,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Affiliates or agents, including, without limitation, the Placement Agent,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employees, Affiliates or agents, including, without limitation, the Placement Agent, on the one hand, and any of the Purchasers or any of their Affiliates on the other hand, shall terminate and be no further force or effect. The Company understands and confirms that each Purchaser shall be relying on the foregoing covenant in effecting transactions in securities of the Company.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the filing of final Transaction Documents with the Commission and (b) to the extent such disclosure is required by law or Trading Market regulations, in which case the Company shall provide the Purchasers with prior notice of such disclosure permitted under this clause (b) and reasonably cooperate with such Purchaser regarding such disclosure.</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1" w:name="page72"/>
    <w:bookmarkEnd w:id="7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Shareholder Rights Plan</w:t>
      </w:r>
      <w:r>
        <w:rPr>
          <w:rFonts w:ascii="Times New Roman" w:cs="Times New Roman" w:eastAsia="Times New Roman" w:hAnsi="Times New Roman"/>
          <w:sz w:val="18"/>
          <w:szCs w:val="18"/>
          <w:color w:val="auto"/>
        </w:rPr>
        <w:t>. No claim will be made or enforced by the Company or, with the consent of the Company, any other Person, that any Purchaser is an “</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Non-Public Information</w:t>
      </w:r>
      <w:r>
        <w:rPr>
          <w:rFonts w:ascii="Times New Roman" w:cs="Times New Roman" w:eastAsia="Times New Roman" w:hAnsi="Times New Roman"/>
          <w:sz w:val="18"/>
          <w:szCs w:val="18"/>
          <w:color w:val="auto"/>
        </w:rPr>
        <w:t>. Except with respect to the material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in writing to the receipt of such information and agreed in writing with the Company to keep such information confidential. The Company understands and confirms that each Purchaser shall be relying on the foregoing covenant in effecting transactions in securities of the Company. To the extent that the Company, any of its Subsidiaries, or any of their respective officers, directors, agents, employees or Affiliates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employees, Affiliates or agents, including, without limitation, the Placement Agent, or a duty to the Company, any of its Subsidiaries or any of their respective officers, directors, employees, Affiliates or agents, including, without limitation, the Placement Agent,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with the delivery of such notice file such notice with the Commission pursuant to a Current Report on Form 8-K. The Company understands and confirms that each Purchaser shall be relying on the foregoing covenant in effecting transactions in securities of the Company.</w:t>
      </w:r>
    </w:p>
    <w:p>
      <w:pPr>
        <w:spacing w:after="0" w:line="19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shall use the net proceeds from the sale of the Securities hereunder for working capital and general corporate purposes and shall not use such proceeds: (a) for the satisfaction of any portion of the Company’s debt (other than payment of trade payables in the ordinary course of the Company’s business and prior practices), (b) for the redemption of any Common Stock or Common Stock Equivalents, (c) for the settlement of any outstanding litigation or (d) in violation of FCPA or OFAC regulations.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2" w:name="page73"/>
    <w:bookmarkEnd w:id="72"/>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Indemnification of Purchasers</w:t>
      </w:r>
      <w:r>
        <w:rPr>
          <w:rFonts w:ascii="Times New Roman" w:cs="Times New Roman" w:eastAsia="Times New Roman" w:hAnsi="Times New Roman"/>
          <w:sz w:val="18"/>
          <w:szCs w:val="18"/>
          <w:color w:val="auto"/>
        </w:rPr>
        <w:t>. Subject to the provisions of this Section 4.8,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“Purchaser Party”)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or (iii)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(y) for any settlement by a Purchaser Party effected without the Company’s prior written consent, which shall not be unreasonably withheld or delayed; or (z) to the extent, but only to the extent that a loss, claim, damage or liability is attributable to any Purchaser Party’s breach of any of the representations, warranties, covenants or agreements made by such made by a Purchaser Party in this Agreement or the other Transaction Documents. The indemnification required by this Section 4.8 shall be made by periodic payments of the amount thereof during the course of the investigation or defense, as and when bills are received or are incurred</w:t>
      </w:r>
      <w:r>
        <w:rPr>
          <w:rFonts w:ascii="Times New Roman" w:cs="Times New Roman" w:eastAsia="Times New Roman" w:hAnsi="Times New Roman"/>
          <w:sz w:val="18"/>
          <w:szCs w:val="18"/>
          <w:color w:val="auto"/>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Indemnified Party executes an undertaking to reimburse amounts paid if indemnification is unavailable hereunder. The indemnity agreements contained herein shall be in addition to any cause of action or similar right of any Purchaser Party against the Company or others and any liabilities the Company may be subject to pursuant to law.</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3" w:name="page74"/>
    <w:bookmarkEnd w:id="7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Reservation of Common Stock</w:t>
      </w:r>
      <w:r>
        <w:rPr>
          <w:rFonts w:ascii="Times New Roman" w:cs="Times New Roman" w:eastAsia="Times New Roman" w:hAnsi="Times New Roman"/>
          <w:sz w:val="18"/>
          <w:szCs w:val="18"/>
          <w:color w:val="auto"/>
        </w:rPr>
        <w:t>. As of the date hereof, the Company has reserved and the Company shall continue to reserve and keep available at all times, free of preemptive rights, a sufficient number of shares of Common Stock for the purpose of enabling the Company to issue Shares pursuant to this Agreement and Warrant Shares pursuant to any exercise of the Warrants.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Listing of Common Stock</w:t>
      </w:r>
      <w:r>
        <w:rPr>
          <w:rFonts w:ascii="Times New Roman" w:cs="Times New Roman" w:eastAsia="Times New Roman" w:hAnsi="Times New Roman"/>
          <w:sz w:val="18"/>
          <w:szCs w:val="18"/>
          <w:color w:val="auto"/>
        </w:rPr>
        <w:t>. The Company hereby agrees to use reasonable best efforts to maintain the listing or quotation of the Common Stock on the Trading Market on which it is currently listed, and concurrently with the Closing, the Company shall apply to list or quote all of the Shares and Warrant Shares on such Trading Market and promptly secure the listing of all of the Shares and Warrant Shares on such Trading Market. The Company further agrees, if the Company applies to have the Common Stock traded on any other Trading Market, it will then include in such application all of the Shares and Warrant Shares, and will take such other action as is necessary to cause all of the Shares and Warrant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194"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18"/>
          <w:szCs w:val="18"/>
          <w:color w:val="auto"/>
        </w:rPr>
        <w:t>4.11</w:t>
      </w:r>
      <w:r>
        <w:rPr>
          <w:sz w:val="20"/>
          <w:szCs w:val="20"/>
          <w:color w:val="auto"/>
        </w:rPr>
        <w:tab/>
      </w:r>
      <w:r>
        <w:rPr>
          <w:rFonts w:ascii="Times New Roman" w:cs="Times New Roman" w:eastAsia="Times New Roman" w:hAnsi="Times New Roman"/>
          <w:sz w:val="17"/>
          <w:szCs w:val="17"/>
          <w:u w:val="single" w:color="auto"/>
          <w:color w:val="auto"/>
        </w:rPr>
        <w:t>Subsequent Equity Sales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660" w:firstLine="392"/>
        <w:spacing w:after="0" w:line="255" w:lineRule="auto"/>
        <w:tabs>
          <w:tab w:leader="none" w:pos="144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thirty (30) days after the Closing Date, neither the Company nor any Subsidiary shall (i) issue, enter into any agreement to issue or announce the issuance or proposed issuance of any shares of Common Stock or Common Stock Equivalents or (ii) file any registration statement or any amendment or supplement thereto, in each case other than (1) the Prospectus Supplement, (2) filing a registration statement on Form S-8 in connection with any employee benefit plan, (3) any supplement or amendment (or Post-Effective Amendment) to any registration statement filed with the SEC prior to the date hereof solely for the purpose of revising any required disclosure in such registration statement and not for the purpose of increasing the offering size pursuant to any such registration statement, or (4) filing a resale registration statement on Form S-3 pursuant to Section 6.1 of the Prior SPA.</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4" w:name="page75"/>
    <w:bookmarkEnd w:id="74"/>
    <w:p>
      <w:pPr>
        <w:jc w:val="both"/>
        <w:ind w:left="660" w:firstLine="392"/>
        <w:spacing w:after="0" w:line="253" w:lineRule="auto"/>
        <w:tabs>
          <w:tab w:leader="none" w:pos="1493"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six (6) months after the Closing Date, the Company shall be prohibited from effecting or entering into an agreement to effect any issuance by the Company or any of its Subsidiaries of Common Stock or Common Stock Equivalents (or a combination of units thereof) involving a Variable Rate Transaction. “</w:t>
      </w:r>
      <w:r>
        <w:rPr>
          <w:rFonts w:ascii="Times New Roman" w:cs="Times New Roman" w:eastAsia="Times New Roman" w:hAnsi="Times New Roman"/>
          <w:sz w:val="18"/>
          <w:szCs w:val="18"/>
          <w:u w:val="single" w:color="auto"/>
          <w:color w:val="auto"/>
        </w:rPr>
        <w:t>Variable Rate Transaction</w:t>
      </w:r>
      <w:r>
        <w:rPr>
          <w:rFonts w:ascii="Times New Roman" w:cs="Times New Roman" w:eastAsia="Times New Roman" w:hAnsi="Times New Roman"/>
          <w:sz w:val="18"/>
          <w:szCs w:val="18"/>
          <w:color w:val="auto"/>
        </w:rPr>
        <w:t>” means a transaction in which the Company (i) issues or sells any debt or equity securities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shares of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Stock or</w:t>
      </w:r>
    </w:p>
    <w:p>
      <w:pPr>
        <w:jc w:val="both"/>
        <w:ind w:left="660" w:hanging="4"/>
        <w:spacing w:after="0" w:line="252" w:lineRule="auto"/>
        <w:tabs>
          <w:tab w:leader="none" w:pos="93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enters into, or effects a transaction under, any agreement, including, but not limited to, an equity line of credit or an “at-the-market offering”, whereby the Company may issue securities at a future determined price;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after the expiration of the prohibition period in Section 4.11(a) above, (i) the entry into and/or issuance of shares of Common Stock in an “at the market” offering with the Placement Agent as sales agent shall not be deemed a Variable Rate Transaction and (ii) the issuance of shares of Common Stock pursuant to that certain Sales Agreement dated as of May 12, 2025, by and between the Company and Leerink Partners LLC, shall not be deemed a Variable Rate Transaction. Any Purchaser shall be entitled to obtain injunctive relief against the Company to preclude any such issuance, which remedy shall be in addition to any right to collect damages.</w:t>
      </w:r>
    </w:p>
    <w:p>
      <w:pPr>
        <w:spacing w:after="0" w:line="188" w:lineRule="exact"/>
        <w:rPr>
          <w:rFonts w:ascii="Times New Roman" w:cs="Times New Roman" w:eastAsia="Times New Roman" w:hAnsi="Times New Roman"/>
          <w:sz w:val="18"/>
          <w:szCs w:val="18"/>
          <w:color w:val="auto"/>
        </w:rPr>
      </w:pPr>
    </w:p>
    <w:p>
      <w:pPr>
        <w:ind w:left="660" w:firstLine="392"/>
        <w:spacing w:after="0" w:line="282" w:lineRule="auto"/>
        <w:tabs>
          <w:tab w:leader="none" w:pos="1551"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this Section 4.11 shall not apply in respect of an Exempt Issuance, except that no Variable Rate Transaction shall be an Exempt Issuance.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Equal Treatment of Purchasers</w:t>
      </w:r>
      <w:r>
        <w:rPr>
          <w:rFonts w:ascii="Times New Roman" w:cs="Times New Roman" w:eastAsia="Times New Roman" w:hAnsi="Times New Roman"/>
          <w:sz w:val="18"/>
          <w:szCs w:val="18"/>
          <w:color w:val="auto"/>
        </w:rPr>
        <w:t>. No consideration (including any modification of this Agreement) shall be offered or paid to any Person to amend or consent to a waiver or modification of any provision of this Agreement unless the same consideration is also offered to all of the parties to this Agreement.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(other than as disclosed to its legal and other representatives).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any of its Subsidiaries, or any of their respective officers, directors, employees, Affiliates or agent, including, without limitation, the Placement Agent, after the issuance of the initial press release as described in Section 4.4.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5" w:name="page76"/>
    <w:bookmarkEnd w:id="7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Exercise Procedures</w:t>
      </w:r>
      <w:r>
        <w:rPr>
          <w:rFonts w:ascii="Times New Roman" w:cs="Times New Roman" w:eastAsia="Times New Roman" w:hAnsi="Times New Roman"/>
          <w:sz w:val="18"/>
          <w:szCs w:val="18"/>
          <w:color w:val="auto"/>
        </w:rPr>
        <w:t>. The form of Exercise Notice included in the Warrants set forth the totality of the procedures required of the Purchasers in order to exercise the Warrants. No additional legal opinion, other information or instructions shall be required of the Purchasers to exercise their Warrants. Without limiting the preceding sentences, no ink-original Exercise Notice shall be required, nor shall any medallion guarantee (or other type of guarantee or notarization) of any Exercise Notice form be required in order to exercise the Warrants. The Company shall honor exercises of the Warrants and shall deliver Warrant Shares in accordance with the terms, conditions and time periods set forth in the Transaction Documents.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4.15 </w:t>
      </w:r>
      <w:r>
        <w:rPr>
          <w:rFonts w:ascii="Times New Roman" w:cs="Times New Roman" w:eastAsia="Times New Roman" w:hAnsi="Times New Roman"/>
          <w:sz w:val="18"/>
          <w:szCs w:val="18"/>
          <w:u w:val="single" w:color="auto"/>
          <w:color w:val="auto"/>
        </w:rPr>
        <w:t>Lock-Up Agreements</w:t>
      </w:r>
      <w:r>
        <w:rPr>
          <w:rFonts w:ascii="Times New Roman" w:cs="Times New Roman" w:eastAsia="Times New Roman" w:hAnsi="Times New Roman"/>
          <w:sz w:val="18"/>
          <w:szCs w:val="18"/>
          <w:color w:val="auto"/>
        </w:rPr>
        <w:t>. The Company shall not amend, modify, waive or terminate any provision of any of the Lock-Up Agreements except to extend the term of the lock-up period and shall enforce the provisions of each Lock-Up Agreement in accordance with its terms. If any party to a Lock-Up Agreement breaches any provision of a Lock-Up Agreement, the Company shall promptly use its best efforts to seek specific performance of the terms of such Lock-Up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MISCELLANEOUS</w:t>
      </w:r>
    </w:p>
    <w:p>
      <w:pPr>
        <w:spacing w:after="0" w:line="207"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by any Purchaser, as to such Purchaser’s obligations hereunder only and without any effect whatsoever on the obligations between the Company and the other Purchasers, by written notice to the other parties, if the Closing has not been consummated on or before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Trading Day following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termination will affect the right of any party to sue for any breach by any other party (or parties).</w:t>
      </w:r>
    </w:p>
    <w:p>
      <w:pPr>
        <w:spacing w:after="0" w:line="20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Securities to the Purchasers.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6" w:name="page77"/>
    <w:bookmarkEnd w:id="7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Transaction Documents, together with the exhibits and schedules thereto, the Prospectus and the Prospectus Supplement,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80"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email attachment at the email address as set forth on the signature pages attached hereto at or prior to 5:30 p.m. (New York City time) on a Trading Day, (b) the next Trading Day after the time of transmission, if such notice or communication is delivered via email attachment at the email address as set forth on the signature pages attached hereto on a day that is not a Trading Day or later than 5:30 p.m. (New York City time) on any Trading Day, (c)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w:t>
      </w:r>
    </w:p>
    <w:p>
      <w:pPr>
        <w:spacing w:after="0" w:line="19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No provision of this Agreement may be waived, modified, supplemented or amended except in a written instrument signed, in the case of an amendment, by the Company and Purchasers which purchased at least 50.1% in interest of the Shares and Pre-Funded Warrants based on the initial Subscription Amounts hereunder (or, prior to the Closing, the Company and each Purchaser) or, in the case of a waiver, by the party against whom enforcement of any such waived provision is sought, provided that if any amendment, modification or waiver disproportionately and adversely impacts a Purchaser (or multiple Purchasers), the consent of such disproportionately impacted Purchaser (or at least 50.1% in interest of such multiple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Securities and the Company.</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Agreement and shall not be deemed to limit or affect any of the provisions hereof.</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7" w:name="page78"/>
    <w:bookmarkEnd w:id="7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The Placement Agent shall be the third party beneficiary of the representations, warranties, and covenants of the Company in this Agreement and the representations, warranties, and covenants of the Purchasers in this Agreement. This Agreement is intended for the benefit of the parties hereto and their respective successors and permitted assigns and is not for the benefit of, nor may any provision hereof be enforced by, any other Person, except as otherwise set forth in Section 4.8 and this Section 5.8.</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4.8,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195"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5.10</w:t>
      </w:r>
      <w:r>
        <w:rPr>
          <w:sz w:val="20"/>
          <w:szCs w:val="20"/>
          <w:color w:val="auto"/>
        </w:rPr>
        <w:tab/>
      </w:r>
      <w:r>
        <w:rPr>
          <w:rFonts w:ascii="Times New Roman" w:cs="Times New Roman" w:eastAsia="Times New Roman" w:hAnsi="Times New Roman"/>
          <w:sz w:val="17"/>
          <w:szCs w:val="17"/>
          <w:u w:val="single" w:color="auto"/>
          <w:color w:val="auto"/>
        </w:rPr>
        <w:t>Survival</w:t>
      </w:r>
      <w:r>
        <w:rPr>
          <w:rFonts w:ascii="Times New Roman" w:cs="Times New Roman" w:eastAsia="Times New Roman" w:hAnsi="Times New Roman"/>
          <w:sz w:val="17"/>
          <w:szCs w:val="17"/>
          <w:color w:val="auto"/>
        </w:rPr>
        <w:t>. The representations and warranties contained herein shall survive the Closing and the delivery of the Securities.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Execution</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of a “.pdf” format data file or by any other electronic means, such signature shall create a valid and binding obligation of the party executing (or on whose behalf such signature is executed) with the same force and effect as if such “.pdf” or electronic signature page were an original thereof.</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8" w:name="page79"/>
    <w:bookmarkEnd w:id="78"/>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Rescission and Withdrawal Right</w:t>
      </w:r>
      <w:r>
        <w:rPr>
          <w:rFonts w:ascii="Times New Roman" w:cs="Times New Roman" w:eastAsia="Times New Roman" w:hAnsi="Times New Roman"/>
          <w:sz w:val="18"/>
          <w:szCs w:val="18"/>
          <w:color w:val="auto"/>
        </w:rPr>
        <w:t xml:space="preserve">.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case of a rescission of an exercise of a Warrant, the applicable Purchaser shall be required to return any shares of Common Stock subject to any such rescinded exercise notice concurrently with the return to such Purchaser of the aggregate exercise price paid to the Company for such shares and the restoration of such Purchaser’s right to acquire such shares pursuant to such Purchaser’s Warrant (including, issuance of a replacement warrant certificate evidencing such restored right).</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Replacement of Securities</w:t>
      </w:r>
      <w:r>
        <w:rPr>
          <w:rFonts w:ascii="Times New Roman" w:cs="Times New Roman" w:eastAsia="Times New Roman" w:hAnsi="Times New Roman"/>
          <w:sz w:val="18"/>
          <w:szCs w:val="18"/>
          <w:color w:val="auto"/>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Payment Set Aside</w:t>
      </w:r>
      <w:r>
        <w:rPr>
          <w:rFonts w:ascii="Times New Roman" w:cs="Times New Roman" w:eastAsia="Times New Roman" w:hAnsi="Times New Roman"/>
          <w:sz w:val="18"/>
          <w:szCs w:val="18"/>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9" w:name="page80"/>
    <w:bookmarkEnd w:id="79"/>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Independent Nature of Purchasers’ Obligations and Rights</w:t>
      </w:r>
      <w:r>
        <w:rPr>
          <w:rFonts w:ascii="Times New Roman" w:cs="Times New Roman" w:eastAsia="Times New Roman" w:hAnsi="Times New Roman"/>
          <w:sz w:val="18"/>
          <w:szCs w:val="18"/>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each Purchaser and its respective counsel have chosen to communicate with the Company through EGS. EGS does not represent any of the Purchasers and only represents the Placement Agent.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Liquidated Damages</w:t>
      </w:r>
      <w:r>
        <w:rPr>
          <w:rFonts w:ascii="Times New Roman" w:cs="Times New Roman" w:eastAsia="Times New Roman" w:hAnsi="Times New Roman"/>
          <w:sz w:val="18"/>
          <w:szCs w:val="18"/>
          <w:color w:val="auto"/>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5.21 </w:t>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IN ANY ACTION, SUIT, OR PROCEEDING IN ANY JURISDICTION BROUGHT BY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PARTY AGAINST ANY OTHER PARTY, THE PARTIES EACH KNOWINGLY AND INTENTIONALLY, TO THE GREATEST EXTENT PERMITTED BY APPLICABLE LAW, HEREBY ABSOLUTELY, UNCONDITIONALLY, IRREVOCABLY AND EXPRESSLY WAIVES FOREVER TRIAL BY JURY.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0" w:name="page81"/>
    <w:bookmarkEnd w:id="8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5.22 </w:t>
      </w:r>
      <w:r>
        <w:rPr>
          <w:rFonts w:ascii="Times New Roman" w:cs="Times New Roman" w:eastAsia="Times New Roman" w:hAnsi="Times New Roman"/>
          <w:sz w:val="18"/>
          <w:szCs w:val="18"/>
          <w:u w:val="single" w:color="auto"/>
          <w:color w:val="auto"/>
        </w:rPr>
        <w:t>Amendment to Prior Securities Purchase Agreement</w:t>
      </w:r>
      <w:r>
        <w:rPr>
          <w:rFonts w:ascii="Times New Roman" w:cs="Times New Roman" w:eastAsia="Times New Roman" w:hAnsi="Times New Roman"/>
          <w:sz w:val="18"/>
          <w:szCs w:val="18"/>
          <w:color w:val="auto"/>
        </w:rPr>
        <w:t>. Each Prior SPA Purchaser party hereto hereby agrees to amend Section 8.8 of that certain Securities Purchase Agreement, dated as of June 9, 2026 (the “</w:t>
      </w:r>
      <w:r>
        <w:rPr>
          <w:rFonts w:ascii="Times New Roman" w:cs="Times New Roman" w:eastAsia="Times New Roman" w:hAnsi="Times New Roman"/>
          <w:sz w:val="18"/>
          <w:szCs w:val="18"/>
          <w:u w:val="single" w:color="auto"/>
          <w:color w:val="auto"/>
        </w:rPr>
        <w:t>Prior SPA</w:t>
      </w:r>
      <w:r>
        <w:rPr>
          <w:rFonts w:ascii="Times New Roman" w:cs="Times New Roman" w:eastAsia="Times New Roman" w:hAnsi="Times New Roman"/>
          <w:sz w:val="18"/>
          <w:szCs w:val="18"/>
          <w:color w:val="auto"/>
        </w:rPr>
        <w:t>”), to explicitly permit the transactions contemplated by this Agreement under the terms of the Prior SPA.</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1" w:name="page82"/>
    <w:bookmarkEnd w:id="81"/>
    <w:p>
      <w:pPr>
        <w:ind w:firstLine="810"/>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Securities Purchase Agreement to be duly executed by their respective authorized signatories as of the date first indicated above.</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CERVOMED INC.</w:t>
            </w:r>
          </w:p>
        </w:tc>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Address for Notice:</w:t>
            </w:r>
          </w:p>
        </w:tc>
        <w:tc>
          <w:tcPr>
            <w:tcW w:w="340" w:type="dxa"/>
            <w:vAlign w:val="bottom"/>
          </w:tcPr>
          <w:p>
            <w:pPr>
              <w:spacing w:after="0"/>
              <w:rPr>
                <w:sz w:val="17"/>
                <w:szCs w:val="17"/>
                <w:color w:val="auto"/>
              </w:rPr>
            </w:pPr>
          </w:p>
        </w:tc>
      </w:tr>
      <w:tr>
        <w:trPr>
          <w:trHeight w:val="650"/>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By:__________________________________________</w:t>
            </w: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20 Park Plaza, Suite 424</w:t>
            </w:r>
          </w:p>
        </w:tc>
      </w:tr>
      <w:tr>
        <w:trPr>
          <w:trHeight w:val="216"/>
        </w:trPr>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Name:</w:t>
            </w: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Boston, MA 02116</w:t>
            </w:r>
          </w:p>
        </w:tc>
      </w:tr>
      <w:tr>
        <w:trPr>
          <w:trHeight w:val="216"/>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E-Mail:</w:t>
            </w:r>
          </w:p>
        </w:tc>
      </w:tr>
      <w:tr>
        <w:trPr>
          <w:trHeight w:val="234"/>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tc>
        <w:tc>
          <w:tcPr>
            <w:tcW w:w="142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14"/>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Mintz, Levin, Cohn, Ferris, Glovsky and Popeo, P.C.</w:t>
            </w:r>
          </w:p>
        </w:tc>
        <w:tc>
          <w:tcPr>
            <w:tcW w:w="14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One Financial Center</w:t>
            </w: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Boston, MA 02111</w:t>
            </w: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Attention: William C. Hicks</w:t>
            </w: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71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Jason S. McCaffrey</w:t>
            </w: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Email: WCHicks@mintz.com</w:t>
            </w: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34"/>
        </w:trPr>
        <w:tc>
          <w:tcPr>
            <w:tcW w:w="7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JSMcCaffrey@mintz.com</w:t>
            </w:r>
          </w:p>
        </w:tc>
        <w:tc>
          <w:tcPr>
            <w:tcW w:w="1420" w:type="dxa"/>
            <w:vAlign w:val="bottom"/>
          </w:tcPr>
          <w:p>
            <w:pPr>
              <w:spacing w:after="0"/>
              <w:rPr>
                <w:sz w:val="20"/>
                <w:szCs w:val="20"/>
                <w:color w:val="auto"/>
              </w:rPr>
            </w:pPr>
          </w:p>
        </w:tc>
        <w:tc>
          <w:tcPr>
            <w:tcW w:w="3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FOR PURCHASER FOLLOWS]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color w:val="auto"/>
        </w:rPr>
        <w:t>[PURCHASER SIGNATURE PAGES TO CRVO SECURITIES PURCHASE AGREEMENT]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have caused this Securities Purchase Agreement to be duly executed by their respective authorized signatories as of the date first indicated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 ________________________________________________________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Purchaser</w:t>
      </w:r>
      <w:r>
        <w:rPr>
          <w:rFonts w:ascii="Times New Roman" w:cs="Times New Roman" w:eastAsia="Times New Roman" w:hAnsi="Times New Roman"/>
          <w:sz w:val="18"/>
          <w:szCs w:val="18"/>
          <w:color w:val="auto"/>
        </w:rPr>
        <w:t>: _________________________________</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 of Authorized Signatory:_________________________________________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 to Purchaser: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Delivery of Warrants to Purchaser (if not same as address for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Amount: $_________________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_________________</w:t>
      </w:r>
    </w:p>
    <w:p>
      <w:pPr>
        <w:spacing w:after="0" w:line="225" w:lineRule="exact"/>
        <w:rPr>
          <w:sz w:val="20"/>
          <w:szCs w:val="20"/>
          <w:color w:val="auto"/>
        </w:rPr>
      </w:pPr>
    </w:p>
    <w:p>
      <w:pPr>
        <w:spacing w:after="0"/>
        <w:tabs>
          <w:tab w:leader="none" w:pos="6140" w:val="left"/>
          <w:tab w:leader="none" w:pos="7040" w:val="left"/>
        </w:tabs>
        <w:rPr>
          <w:sz w:val="20"/>
          <w:szCs w:val="20"/>
          <w:color w:val="auto"/>
        </w:rPr>
      </w:pPr>
      <w:r>
        <w:rPr>
          <w:rFonts w:ascii="Times New Roman" w:cs="Times New Roman" w:eastAsia="Times New Roman" w:hAnsi="Times New Roman"/>
          <w:sz w:val="18"/>
          <w:szCs w:val="18"/>
          <w:color w:val="auto"/>
        </w:rPr>
        <w:t>Pre-Funded Warrant Shares: __________________ Beneficial Ownership Blocker</w:t>
        <w:tab/>
        <w:t>4.99% or</w:t>
      </w:r>
      <w:r>
        <w:rPr>
          <w:sz w:val="20"/>
          <w:szCs w:val="20"/>
          <w:color w:val="auto"/>
        </w:rPr>
        <w:tab/>
      </w:r>
      <w:r>
        <w:rPr>
          <w:rFonts w:ascii="Times New Roman" w:cs="Times New Roman" w:eastAsia="Times New Roman" w:hAnsi="Times New Roman"/>
          <w:sz w:val="17"/>
          <w:szCs w:val="17"/>
          <w:color w:val="auto"/>
        </w:rPr>
        <w:t>9.99%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EIN Number: _______________________</w:t>
      </w:r>
    </w:p>
    <w:p>
      <w:pPr>
        <w:spacing w:after="0" w:line="225" w:lineRule="exact"/>
        <w:rPr>
          <w:sz w:val="20"/>
          <w:szCs w:val="20"/>
          <w:color w:val="auto"/>
        </w:rPr>
      </w:pPr>
    </w:p>
    <w:p>
      <w:pPr>
        <w:jc w:val="both"/>
        <w:ind w:firstLine="8"/>
        <w:spacing w:after="0" w:line="233" w:lineRule="auto"/>
        <w:tabs>
          <w:tab w:leader="none" w:pos="228" w:val="left"/>
        </w:tabs>
        <w:numPr>
          <w:ilvl w:val="0"/>
          <w:numId w:val="7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Notwithstanding anything contained in this Agreement to the contrary, by checking this box (i) the obligations of the above-signed to purchase the securities set forth in this Agreement to be purchased from the Company by the above-signed, and the obligations of the Company to sell such securities to the above-signed, shall be unconditional and all conditions to Closing shall be disregarded, (ii) the Closing shall occur on the first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Trading Day following the date of this Agreement and (iii) any condition to Closing contemplated by this Agreement (but prior to being disregarded by clause (i) above) that required delivery by the Company or the above-signed of any agreement, instrument, certificate or the like or purchase price (as applicable) shall no longer be a condition and shall instead be an unconditional obligation of the Company or the above-signed (as applicable) to deliver such agreement, instrument, certificate or the like or purchase price (as applicable) to such other party on the Closing Date.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CONTINUE]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607424814v.8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580" w:right="339" w:bottom="1440" w:gutter="0" w:footer="0" w:header="0"/>
        </w:sectPr>
      </w:pPr>
    </w:p>
    <w:bookmarkStart w:id="83" w:name="page84"/>
    <w:bookmarkEnd w:id="8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27" w:lineRule="exact"/>
        <w:rPr>
          <w:sz w:val="20"/>
          <w:szCs w:val="20"/>
          <w:color w:val="auto"/>
        </w:rPr>
      </w:pPr>
    </w:p>
    <w:p>
      <w:pPr>
        <w:jc w:val="center"/>
        <w:ind w:left="340" w:right="160"/>
        <w:spacing w:after="0" w:line="262" w:lineRule="auto"/>
        <w:rPr>
          <w:sz w:val="20"/>
          <w:szCs w:val="20"/>
          <w:color w:val="auto"/>
        </w:rPr>
      </w:pPr>
      <w:r>
        <w:rPr>
          <w:rFonts w:ascii="Times New Roman" w:cs="Times New Roman" w:eastAsia="Times New Roman" w:hAnsi="Times New Roman"/>
          <w:sz w:val="22"/>
          <w:szCs w:val="22"/>
          <w:b w:val="1"/>
          <w:bCs w:val="1"/>
          <w:color w:val="auto"/>
        </w:rPr>
        <w:t>CervoMed Announces $10 Million Registered Direct Offering of Common Stock Priced At-The-Market Under Nasdaq Rules</w:t>
      </w:r>
    </w:p>
    <w:p>
      <w:pPr>
        <w:spacing w:after="0" w:line="1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BOSTON, June 18, 2026 -- CervoMed Inc. (NASDAQ: CRVO), a clinical-stage biotechnology company developing treatments for age-related brain disorders (CervoMed or the Company), today announced that it has entered into definitive agreements for the purchase and sale of 2,500,000 shares of common stock at a purchase price of $4.00 per share in a registered direct offering priced at-the-market under Nasdaq rules. The closing of the offering is expected to occur on or about June 22, 2026, subject to the satisfaction of customary closing conditions.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H.C. Wainwright &amp; Co. is acting as the exclusive placement agent for the offering.</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gross proceeds to the Company from the offering are expected to be $10 million, before deducting placement agent fees and other offering expenses payable by the Company. The Company intends to use the net proceeds from the offering for working capital and general corporate purposes.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common stock described above are being offered by the Company pursuant to a “shelf” registration statement on Form S-3 (File No. 333-282494) that was declared effective by the Securities and Exchange Commission (SEC) on October 10, 2024. The offering is being made only by means of a prospectus, including a prospectus supplement, forming a part of the effective registration statement. A final prospectus supplement and accompanying prospectus relating to the offering will be filed with the SEC. Electronic copies of the final prospectus supplement and accompanying prospectus may be obtained, when available, on the SEC’s website at http://www.sec.gov or by contacting H.C. Wainwright &amp; Co., LLC at 430 Park Avenue, 3rd Floor, New York, New York 10022, by phone at (212) 856-5711 or e-mail at </w:t>
      </w:r>
      <w:r>
        <w:rPr>
          <w:rFonts w:ascii="Times New Roman" w:cs="Times New Roman" w:eastAsia="Times New Roman" w:hAnsi="Times New Roman"/>
          <w:sz w:val="18"/>
          <w:szCs w:val="18"/>
          <w:u w:val="single" w:color="auto"/>
          <w:color w:val="auto"/>
        </w:rPr>
        <w:t>placements@hcwco.com</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does not constitute an offer to sell or the solicitation of an offer to buy these securities, nor shall there be any sale of these securities in any jurisdiction in which such offer, solicitation or sale would be unlawful prior to the registration or qualification under the securities laws of any such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CervoMed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CervoMed is a clinical-stage company developing treatments for age-related brain disorders. Its lead drug candidate, neflamapimod, is an oral small molecule targeting critical disease processes underlying degenerative disorders of the brain by inhibiting a key enzyme involved in neuroinflammation and neurodegeneration. CervoMed’s recently completed Phase 2b RewinD-LB trial evaluated neflamapimod in patients with dementia with Lewy bodies (DLB), enriched for those without Alzheimer’s disease co-pathology, and the Company announced alignment with the US Food and Drug Administration (FDA) on a potential registration path for neflamapimod in DLB in November 2025. Initiation of a Phase 3 trial in DLB is subject to the establishment of a partnership and/or additional financing. CervoMed also recently completed enrollment in its ongoing Phase 2a clinical trial evaluating neflamapimod in nonfluent variant primary progressive aphasia, a subtype of frontotemporal disorders, from which interim biomarker data is anticipated in the early fourth quarter of 2026, and expects the first patient to be dosed with neflamapimod in the EXPERTS-ALS Phase 2a clinical trial in the fourth quarter of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includes express and implied forward-looking statements within the meaning of the Private Securities Litigation Reform Act of 1995, as amended, regarding the intentions, plans, beliefs, expectations or forecasts for the future of the Company, including, but not limited to: the timing, size and expectation of the closing of the offering; and expectations regarding market conditions, the satisfaction of customary closing conditions related to the offering and the anticipated use of proceeds therefrom. Terms such as “believes,” “estimates,” “anticipates,” “expects,” “plans,” “aims,” “seeks,” “intends,” “may,” “could,” “might,” “will,” “should,” “approximately,” “potential,” “target,” “project,” “contemplate,” “predict,” “forecast,” “continue,” or other words that convey uncertainty of future events or outcomes (including the negative of these terms) may identify these forward-looking statements. Although there is believed to be reasonable basis for each forward-looking statement contained herein, forward-looking statements by their nature involve risks and uncertainties, known and unknown, many of which are beyond the Company’s control and, as a result, actual results could differ materially from those expressed or implied in any forward-looking statement. Particular risks and uncertainties include, among other things, those related to: the satisfaction of the closing conditions to and consummation of the offering; the Company’s available cash resources, the availability of additional funds on acceptable terms or at all, and the Company’s ability to continue as a going concern; the results of the Company’s clinical trials; the Company’s ability to successfully enter into a partnership to advance neflamapimod into Phase 3 for DLB in a timely manner, on acceptable terms, or at all; the likelihood and timing of any regulatory approval of neflamapimod or the nature of any feedback the Company may receive from the FDA or other regulators; the Company’s ability to maintain the intellectual property protection afforded by the Company’s patent portfolio; the ability to implement business plans, forecasts, and other expectations in the future; general economic, political, business, industry, and market conditions, inflationary pressures, and geopolitical conflicts; and the other factors discussed under the heading “Risk Factors” in the Company’s Annual Report on Form 10-K for the year ended December 31, 2025 filed with the SEC on March 13, 2026, and other filings that the Company may file from time to time with the SEC. Any forward-looking statements in this press release speak only as of the date hereof (or such earlier date as may be identified). The Company does not undertake any obligation to update such forward-looking statements to reflect events or circumstances after the date of this press release, except to the extent required by law.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Lisa Guiterman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Biongage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lisa.guiterman@gmail.com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202-330-3431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Argot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cervomed@argotpartners.com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212-600-1902</w:t>
      </w: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2">
    <w:nsid w:val="7724C67E"/>
    <w:multiLevelType w:val="hybridMultilevel"/>
    <w:lvl w:ilvl="0">
      <w:lvlJc w:val="left"/>
      <w:lvlText w:val="(%1)"/>
      <w:numFmt w:val="upperLetter"/>
      <w:start w:val="24"/>
    </w:lvl>
    <w:lvl w:ilvl="1">
      <w:lvlJc w:val="left"/>
      <w:lvlText w:val="%2"/>
      <w:numFmt w:val="decimal"/>
      <w:start w:val="1"/>
    </w:lvl>
    <w:lvl w:ilvl="2">
      <w:lvlJc w:val="left"/>
      <w:lvlText w:val="%3"/>
      <w:numFmt w:val="lowerLetter"/>
      <w:start w:val="1"/>
    </w:lvl>
  </w:abstractNum>
  <w:abstractNum w:abstractNumId="3">
    <w:nsid w:val="5C482A97"/>
    <w:multiLevelType w:val="hybridMultilevel"/>
    <w:lvl w:ilvl="0">
      <w:lvlJc w:val="left"/>
      <w:lvlText w:val="(%1)"/>
      <w:numFmt w:val="lowerLetter"/>
      <w:start w:val="2"/>
    </w:lvl>
  </w:abstractNum>
  <w:abstractNum w:abstractNumId="4">
    <w:nsid w:val="2463B9EA"/>
    <w:multiLevelType w:val="hybridMultilevel"/>
    <w:lvl w:ilvl="0">
      <w:lvlJc w:val="left"/>
      <w:lvlText w:val="%1"/>
      <w:numFmt w:val="upperLetter"/>
      <w:start w:val="1"/>
    </w:lvl>
    <w:lvl w:ilvl="1">
      <w:lvlJc w:val="left"/>
      <w:lvlText w:val="(%2)"/>
      <w:numFmt w:val="lowerLetter"/>
      <w:start w:val="4"/>
    </w:lvl>
  </w:abstractNum>
  <w:abstractNum w:abstractNumId="5">
    <w:nsid w:val="5E884ADC"/>
    <w:multiLevelType w:val="hybridMultilevel"/>
    <w:lvl w:ilvl="0">
      <w:lvlJc w:val="left"/>
      <w:lvlText w:val="(%1)"/>
      <w:numFmt w:val="upperLetter"/>
      <w:start w:val="9"/>
    </w:lvl>
    <w:lvl w:ilvl="1">
      <w:lvlJc w:val="left"/>
      <w:lvlText w:val="%2"/>
      <w:numFmt w:val="lowerLetter"/>
      <w:start w:val="1"/>
    </w:lvl>
  </w:abstractNum>
  <w:abstractNum w:abstractNumId="6">
    <w:nsid w:val="51EAD36B"/>
    <w:multiLevelType w:val="hybridMultilevel"/>
    <w:lvl w:ilvl="0">
      <w:lvlJc w:val="left"/>
      <w:lvlText w:val="(%1)"/>
      <w:numFmt w:val="lowerLetter"/>
      <w:start w:val="5"/>
    </w:lvl>
    <w:lvl w:ilvl="1">
      <w:lvlJc w:val="left"/>
      <w:lvlText w:val="(%2)"/>
      <w:numFmt w:val="decimal"/>
      <w:start w:val="1"/>
    </w:lvl>
  </w:abstractNum>
  <w:abstractNum w:abstractNumId="7">
    <w:nsid w:val="2D517796"/>
    <w:multiLevelType w:val="hybridMultilevel"/>
    <w:lvl w:ilvl="0">
      <w:lvlJc w:val="left"/>
      <w:lvlText w:val="(%1)"/>
      <w:numFmt w:val="decimal"/>
      <w:start w:val="2"/>
    </w:lvl>
  </w:abstractNum>
  <w:abstractNum w:abstractNumId="8">
    <w:nsid w:val="580BD78F"/>
    <w:multiLevelType w:val="hybridMultilevel"/>
    <w:lvl w:ilvl="0">
      <w:lvlJc w:val="left"/>
      <w:lvlText w:val="(%1)"/>
      <w:numFmt w:val="lowerLetter"/>
      <w:start w:val="7"/>
    </w:lvl>
  </w:abstractNum>
  <w:abstractNum w:abstractNumId="9">
    <w:nsid w:val="153EA438"/>
    <w:multiLevelType w:val="hybridMultilevel"/>
    <w:lvl w:ilvl="0">
      <w:lvlJc w:val="left"/>
      <w:lvlText w:val="%1"/>
      <w:numFmt w:val="decimal"/>
      <w:start w:val="1"/>
    </w:lvl>
    <w:lvl w:ilvl="1">
      <w:lvlJc w:val="left"/>
      <w:lvlText w:val="(%2)"/>
      <w:numFmt w:val="lowerLetter"/>
      <w:start w:val="8"/>
    </w:lvl>
  </w:abstractNum>
  <w:abstractNum w:abstractNumId="10">
    <w:nsid w:val="3855585C"/>
    <w:multiLevelType w:val="hybridMultilevel"/>
    <w:lvl w:ilvl="0">
      <w:lvlJc w:val="left"/>
      <w:lvlText w:val="%1."/>
      <w:numFmt w:val="decimal"/>
      <w:start w:val="2"/>
    </w:lvl>
    <w:lvl w:ilvl="1">
      <w:lvlJc w:val="left"/>
      <w:lvlText w:val="(%2)"/>
      <w:numFmt w:val="lowerLetter"/>
      <w:start w:val="1"/>
    </w:lvl>
  </w:abstractNum>
  <w:abstractNum w:abstractNumId="11">
    <w:nsid w:val="70A64E2A"/>
    <w:multiLevelType w:val="hybridMultilevel"/>
    <w:lvl w:ilvl="0">
      <w:lvlJc w:val="left"/>
      <w:lvlText w:val="%1"/>
      <w:numFmt w:val="decimal"/>
      <w:start w:val="1"/>
    </w:lvl>
    <w:lvl w:ilvl="1">
      <w:lvlJc w:val="left"/>
      <w:lvlText w:val="(%2)"/>
      <w:numFmt w:val="lowerLetter"/>
      <w:start w:val="3"/>
    </w:lvl>
  </w:abstractNum>
  <w:abstractNum w:abstractNumId="12">
    <w:nsid w:val="6A2342EC"/>
    <w:multiLevelType w:val="hybridMultilevel"/>
    <w:lvl w:ilvl="0">
      <w:lvlJc w:val="left"/>
      <w:lvlText w:val="%1."/>
      <w:numFmt w:val="decimal"/>
      <w:start w:val="3"/>
    </w:lvl>
    <w:lvl w:ilvl="1">
      <w:lvlJc w:val="left"/>
      <w:lvlText w:val="(%2)"/>
      <w:numFmt w:val="lowerLetter"/>
      <w:start w:val="1"/>
    </w:lvl>
  </w:abstractNum>
  <w:abstractNum w:abstractNumId="13">
    <w:nsid w:val="2A487CB0"/>
    <w:multiLevelType w:val="hybridMultilevel"/>
    <w:lvl w:ilvl="0">
      <w:lvlJc w:val="left"/>
      <w:lvlText w:val="(%1)"/>
      <w:numFmt w:val="lowerLetter"/>
      <w:start w:val="2"/>
    </w:lvl>
  </w:abstractNum>
  <w:abstractNum w:abstractNumId="14">
    <w:nsid w:val="1D4ED43B"/>
    <w:multiLevelType w:val="hybridMultilevel"/>
    <w:lvl w:ilvl="0">
      <w:lvlJc w:val="left"/>
      <w:lvlText w:val="%1."/>
      <w:numFmt w:val="decimal"/>
      <w:start w:val="5"/>
    </w:lvl>
    <w:lvl w:ilvl="1">
      <w:lvlJc w:val="left"/>
      <w:lvlText w:val="(%2)"/>
      <w:numFmt w:val="lowerLetter"/>
      <w:start w:val="1"/>
    </w:lvl>
  </w:abstractNum>
  <w:abstractNum w:abstractNumId="15">
    <w:nsid w:val="725A06F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16">
    <w:nsid w:val="2CD89A32"/>
    <w:multiLevelType w:val="hybridMultilevel"/>
    <w:lvl w:ilvl="0">
      <w:lvlJc w:val="left"/>
      <w:lvlText w:val="(%1)"/>
      <w:numFmt w:val="lowerLetter"/>
      <w:start w:val="61"/>
    </w:lvl>
    <w:lvl w:ilvl="1">
      <w:lvlJc w:val="left"/>
      <w:lvlText w:val="%2."/>
      <w:numFmt w:val="decimal"/>
      <w:start w:val="8"/>
    </w:lvl>
    <w:lvl w:ilvl="2">
      <w:lvlJc w:val="left"/>
      <w:lvlText w:val="(%3)"/>
      <w:numFmt w:val="lowerLetter"/>
      <w:start w:val="9"/>
    </w:lvl>
  </w:abstractNum>
  <w:abstractNum w:abstractNumId="17">
    <w:nsid w:val="57E4CCAF"/>
    <w:multiLevelType w:val="hybridMultilevel"/>
    <w:lvl w:ilvl="0">
      <w:lvlJc w:val="left"/>
      <w:lvlText w:val="(%1)"/>
      <w:numFmt w:val="lowerRoman"/>
      <w:start w:val="2"/>
    </w:lvl>
  </w:abstractNum>
  <w:abstractNum w:abstractNumId="18">
    <w:nsid w:val="7A6D8D3C"/>
    <w:multiLevelType w:val="hybridMultilevel"/>
    <w:lvl w:ilvl="0">
      <w:lvlJc w:val="left"/>
      <w:lvlText w:val="%1."/>
      <w:numFmt w:val="decimal"/>
      <w:start w:val="9"/>
    </w:lvl>
  </w:abstractNum>
  <w:abstractNum w:abstractNumId="19">
    <w:nsid w:val="4B588F54"/>
    <w:multiLevelType w:val="hybridMultilevel"/>
    <w:lvl w:ilvl="0">
      <w:lvlJc w:val="left"/>
      <w:lvlText w:val="%1."/>
      <w:numFmt w:val="decimal"/>
      <w:start w:val="11"/>
    </w:lvl>
  </w:abstractNum>
  <w:abstractNum w:abstractNumId="20">
    <w:nsid w:val="542289EC"/>
    <w:multiLevelType w:val="hybridMultilevel"/>
    <w:lvl w:ilvl="0">
      <w:lvlJc w:val="left"/>
      <w:lvlText w:val="%1."/>
      <w:numFmt w:val="decimal"/>
      <w:start w:val="14"/>
    </w:lvl>
    <w:lvl w:ilvl="1">
      <w:lvlJc w:val="left"/>
      <w:lvlText w:val="(%2)"/>
      <w:numFmt w:val="lowerLetter"/>
      <w:start w:val="1"/>
    </w:lvl>
  </w:abstractNum>
  <w:abstractNum w:abstractNumId="21">
    <w:nsid w:val="6DE91B18"/>
    <w:multiLevelType w:val="hybridMultilevel"/>
    <w:lvl w:ilvl="0">
      <w:lvlJc w:val="left"/>
      <w:lvlText w:val="(%1)"/>
      <w:numFmt w:val="lowerLetter"/>
      <w:start w:val="4"/>
    </w:lvl>
  </w:abstractNum>
  <w:abstractNum w:abstractNumId="22">
    <w:nsid w:val="38437FDB"/>
    <w:multiLevelType w:val="hybridMultilevel"/>
    <w:lvl w:ilvl="0">
      <w:lvlJc w:val="left"/>
      <w:lvlText w:val="(%1)"/>
      <w:numFmt w:val="lowerLetter"/>
      <w:start w:val="8"/>
    </w:lvl>
  </w:abstractNum>
  <w:abstractNum w:abstractNumId="23">
    <w:nsid w:val="7644A45C"/>
    <w:multiLevelType w:val="hybridMultilevel"/>
    <w:lvl w:ilvl="0">
      <w:lvlJc w:val="left"/>
      <w:lvlText w:val="(%1)"/>
      <w:numFmt w:val="lowerLetter"/>
      <w:start w:val="12"/>
    </w:lvl>
  </w:abstractNum>
  <w:abstractNum w:abstractNumId="24">
    <w:nsid w:val="32FFF902"/>
    <w:multiLevelType w:val="hybridMultilevel"/>
    <w:lvl w:ilvl="0">
      <w:lvlJc w:val="left"/>
      <w:lvlText w:val="(%1)"/>
      <w:numFmt w:val="lowerLetter"/>
      <w:start w:val="21"/>
    </w:lvl>
  </w:abstractNum>
  <w:abstractNum w:abstractNumId="25">
    <w:nsid w:val="684A481A"/>
    <w:multiLevelType w:val="hybridMultilevel"/>
    <w:lvl w:ilvl="0">
      <w:lvlJc w:val="left"/>
      <w:lvlText w:val="%1."/>
      <w:numFmt w:val="decimal"/>
      <w:start w:val="1"/>
    </w:lvl>
  </w:abstractNum>
  <w:abstractNum w:abstractNumId="26">
    <w:nsid w:val="579478FE"/>
    <w:multiLevelType w:val="hybridMultilevel"/>
    <w:lvl w:ilvl="0">
      <w:lvlJc w:val="left"/>
      <w:lvlText w:val="%1."/>
      <w:numFmt w:val="decimal"/>
      <w:start w:val="1"/>
    </w:lvl>
  </w:abstractNum>
  <w:abstractNum w:abstractNumId="27">
    <w:nsid w:val="749ABB43"/>
    <w:multiLevelType w:val="hybridMultilevel"/>
    <w:lvl w:ilvl="0">
      <w:lvlJc w:val="left"/>
      <w:lvlText w:val="%1."/>
      <w:numFmt w:val="decimal"/>
      <w:start w:val="2"/>
    </w:lvl>
    <w:lvl w:ilvl="1">
      <w:lvlJc w:val="left"/>
      <w:lvlText w:val="(%2)"/>
      <w:numFmt w:val="lowerLetter"/>
      <w:start w:val="1"/>
    </w:lvl>
  </w:abstractNum>
  <w:abstractNum w:abstractNumId="28">
    <w:nsid w:val="3DC240FB"/>
    <w:multiLevelType w:val="hybridMultilevel"/>
    <w:lvl w:ilvl="0">
      <w:lvlJc w:val="left"/>
      <w:lvlText w:val="%1."/>
      <w:numFmt w:val="decimal"/>
      <w:start w:val="5"/>
    </w:lvl>
    <w:lvl w:ilvl="1">
      <w:lvlJc w:val="left"/>
      <w:lvlText w:val="(%2)"/>
      <w:numFmt w:val="lowerLetter"/>
      <w:start w:val="1"/>
    </w:lvl>
  </w:abstractNum>
  <w:abstractNum w:abstractNumId="29">
    <w:nsid w:val="1BA026FA"/>
    <w:multiLevelType w:val="hybridMultilevel"/>
    <w:lvl w:ilvl="0">
      <w:lvlJc w:val="left"/>
      <w:lvlText w:val="%1"/>
      <w:numFmt w:val="decimal"/>
      <w:start w:val="1"/>
    </w:lvl>
    <w:lvl w:ilvl="1">
      <w:lvlJc w:val="left"/>
      <w:lvlText w:val="(%2)"/>
      <w:numFmt w:val="lowerLetter"/>
      <w:start w:val="3"/>
    </w:lvl>
  </w:abstractNum>
  <w:abstractNum w:abstractNumId="30">
    <w:nsid w:val="79A1DEAA"/>
    <w:multiLevelType w:val="hybridMultilevel"/>
    <w:lvl w:ilvl="0">
      <w:lvlJc w:val="left"/>
      <w:lvlText w:val="%1."/>
      <w:numFmt w:val="decimal"/>
      <w:start w:val="6"/>
    </w:lvl>
    <w:lvl w:ilvl="1">
      <w:lvlJc w:val="left"/>
      <w:lvlText w:val="%2"/>
      <w:numFmt w:val="lowerLetter"/>
      <w:start w:val="1"/>
    </w:lvl>
  </w:abstractNum>
  <w:abstractNum w:abstractNumId="31">
    <w:nsid w:val="75C6C33A"/>
    <w:multiLevelType w:val="hybridMultilevel"/>
    <w:lvl w:ilvl="0">
      <w:lvlJc w:val="left"/>
      <w:lvlText w:val="%1."/>
      <w:numFmt w:val="decimal"/>
      <w:start w:val="9"/>
    </w:lvl>
    <w:lvl w:ilvl="1">
      <w:lvlJc w:val="left"/>
      <w:lvlText w:val="(%2)"/>
      <w:numFmt w:val="lowerLetter"/>
      <w:start w:val="1"/>
    </w:lvl>
  </w:abstractNum>
  <w:abstractNum w:abstractNumId="32">
    <w:nsid w:val="12E685FB"/>
    <w:multiLevelType w:val="hybridMultilevel"/>
    <w:lvl w:ilvl="0">
      <w:lvlJc w:val="left"/>
      <w:lvlText w:val="(%1)"/>
      <w:numFmt w:val="lowerLetter"/>
      <w:start w:val="3"/>
    </w:lvl>
  </w:abstractNum>
  <w:abstractNum w:abstractNumId="33">
    <w:nsid w:val="70C6A529"/>
    <w:multiLevelType w:val="hybridMultilevel"/>
    <w:lvl w:ilvl="0">
      <w:lvlJc w:val="left"/>
      <w:lvlText w:val="(%1)"/>
      <w:numFmt w:val="lowerLetter"/>
      <w:start w:val="5"/>
    </w:lvl>
  </w:abstractNum>
  <w:abstractNum w:abstractNumId="34">
    <w:nsid w:val="520EEDD1"/>
    <w:multiLevelType w:val="hybridMultilevel"/>
    <w:lvl w:ilvl="0">
      <w:lvlJc w:val="left"/>
      <w:lvlText w:val="%1."/>
      <w:numFmt w:val="decimal"/>
      <w:start w:val="10"/>
    </w:lvl>
  </w:abstractNum>
  <w:abstractNum w:abstractNumId="35">
    <w:nsid w:val="374A3FE6"/>
    <w:multiLevelType w:val="hybridMultilevel"/>
    <w:lvl w:ilvl="0">
      <w:lvlJc w:val="left"/>
      <w:lvlText w:val="%1."/>
      <w:numFmt w:val="decimal"/>
      <w:start w:val="11"/>
    </w:lvl>
    <w:lvl w:ilvl="1">
      <w:lvlJc w:val="left"/>
      <w:lvlText w:val="(%2)"/>
      <w:numFmt w:val="lowerLetter"/>
      <w:start w:val="1"/>
    </w:lvl>
  </w:abstractNum>
  <w:abstractNum w:abstractNumId="36">
    <w:nsid w:val="4F4EF005"/>
    <w:multiLevelType w:val="hybridMultilevel"/>
    <w:lvl w:ilvl="0">
      <w:lvlJc w:val="left"/>
      <w:lvlText w:val="%1"/>
      <w:numFmt w:val="decimal"/>
      <w:start w:val="1"/>
    </w:lvl>
    <w:lvl w:ilvl="1">
      <w:lvlJc w:val="left"/>
      <w:lvlText w:val="(%2)"/>
      <w:numFmt w:val="lowerLetter"/>
      <w:start w:val="2"/>
    </w:lvl>
  </w:abstractNum>
  <w:abstractNum w:abstractNumId="37">
    <w:nsid w:val="23F9C13C"/>
    <w:multiLevelType w:val="hybridMultilevel"/>
    <w:lvl w:ilvl="0">
      <w:lvlJc w:val="left"/>
      <w:lvlText w:val="%1."/>
      <w:numFmt w:val="decimal"/>
      <w:start w:val="12"/>
    </w:lvl>
    <w:lvl w:ilvl="1">
      <w:lvlJc w:val="left"/>
      <w:lvlText w:val="%2"/>
      <w:numFmt w:val="lowerLetter"/>
      <w:start w:val="1"/>
    </w:lvl>
  </w:abstractNum>
  <w:abstractNum w:abstractNumId="38">
    <w:nsid w:val="649BB77C"/>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39">
    <w:nsid w:val="275AC794"/>
    <w:multiLevelType w:val="hybridMultilevel"/>
    <w:lvl w:ilvl="0">
      <w:lvlJc w:val="left"/>
      <w:lvlText w:val="(%1)"/>
      <w:numFmt w:val="lowerLetter"/>
      <w:start w:val="4"/>
    </w:lvl>
  </w:abstractNum>
  <w:abstractNum w:abstractNumId="40">
    <w:nsid w:val="39386575"/>
    <w:multiLevelType w:val="hybridMultilevel"/>
    <w:lvl w:ilvl="0">
      <w:lvlJc w:val="left"/>
      <w:lvlText w:val="(%1)"/>
      <w:numFmt w:val="decimal"/>
      <w:start w:val="1"/>
    </w:lvl>
    <w:lvl w:ilvl="1">
      <w:lvlJc w:val="left"/>
      <w:lvlText w:val="☐"/>
      <w:numFmt w:val="bullet"/>
      <w:start w:val="1"/>
    </w:lvl>
  </w:abstractNum>
  <w:abstractNum w:abstractNumId="41">
    <w:nsid w:val="1CF10FD8"/>
    <w:multiLevelType w:val="hybridMultilevel"/>
    <w:lvl w:ilvl="0">
      <w:lvlJc w:val="left"/>
      <w:lvlText w:val="(%1)"/>
      <w:numFmt w:val="lowerLetter"/>
      <w:start w:val="1"/>
    </w:lvl>
    <w:lvl w:ilvl="1">
      <w:lvlJc w:val="left"/>
      <w:lvlText w:val="(%2)"/>
      <w:numFmt w:val="lowerRoman"/>
      <w:start w:val="1"/>
    </w:lvl>
  </w:abstractNum>
  <w:abstractNum w:abstractNumId="42">
    <w:nsid w:val="180115BE"/>
    <w:multiLevelType w:val="hybridMultilevel"/>
    <w:lvl w:ilvl="0">
      <w:lvlJc w:val="left"/>
      <w:lvlText w:val="%1"/>
      <w:numFmt w:val="lowerLetter"/>
      <w:start w:val="1"/>
    </w:lvl>
    <w:lvl w:ilvl="1">
      <w:lvlJc w:val="left"/>
      <w:lvlText w:val="(%2)"/>
      <w:numFmt w:val="lowerRoman"/>
      <w:start w:val="6"/>
    </w:lvl>
  </w:abstractNum>
  <w:abstractNum w:abstractNumId="43">
    <w:nsid w:val="235BA861"/>
    <w:multiLevelType w:val="hybridMultilevel"/>
    <w:lvl w:ilvl="0">
      <w:lvlJc w:val="left"/>
      <w:lvlText w:val="(%1)"/>
      <w:numFmt w:val="lowerLetter"/>
      <w:start w:val="2"/>
    </w:lvl>
    <w:lvl w:ilvl="1">
      <w:lvlJc w:val="left"/>
      <w:lvlText w:val="(%2)"/>
      <w:numFmt w:val="lowerRoman"/>
      <w:start w:val="1"/>
    </w:lvl>
  </w:abstractNum>
  <w:abstractNum w:abstractNumId="44">
    <w:nsid w:val="47398C89"/>
    <w:multiLevelType w:val="hybridMultilevel"/>
    <w:lvl w:ilvl="0">
      <w:lvlJc w:val="left"/>
      <w:lvlText w:val="(%1)"/>
      <w:numFmt w:val="lowerLetter"/>
      <w:start w:val="1"/>
    </w:lvl>
    <w:lvl w:ilvl="1">
      <w:lvlJc w:val="left"/>
      <w:lvlText w:val="(%2)"/>
      <w:numFmt w:val="lowerRoman"/>
      <w:start w:val="1"/>
    </w:lvl>
  </w:abstractNum>
  <w:abstractNum w:abstractNumId="45">
    <w:nsid w:val="354FE9F9"/>
    <w:multiLevelType w:val="hybridMultilevel"/>
    <w:lvl w:ilvl="0">
      <w:lvlJc w:val="left"/>
      <w:lvlText w:val="(%1)"/>
      <w:numFmt w:val="lowerRoman"/>
      <w:start w:val="1"/>
    </w:lvl>
  </w:abstractNum>
  <w:abstractNum w:abstractNumId="46">
    <w:nsid w:val="15B5AF5C"/>
    <w:multiLevelType w:val="hybridMultilevel"/>
    <w:lvl w:ilvl="0">
      <w:lvlJc w:val="left"/>
      <w:lvlText w:val="(%1)"/>
      <w:numFmt w:val="lowerRoman"/>
      <w:start w:val="2"/>
    </w:lvl>
  </w:abstractNum>
  <w:abstractNum w:abstractNumId="47">
    <w:nsid w:val="741226BB"/>
    <w:multiLevelType w:val="hybridMultilevel"/>
    <w:lvl w:ilvl="0">
      <w:lvlJc w:val="left"/>
      <w:lvlText w:val="(%1)"/>
      <w:numFmt w:val="lowerLetter"/>
      <w:start w:val="1"/>
    </w:lvl>
  </w:abstractNum>
  <w:abstractNum w:abstractNumId="48">
    <w:nsid w:val="D34B6A8"/>
    <w:multiLevelType w:val="hybridMultilevel"/>
    <w:lvl w:ilvl="0">
      <w:lvlJc w:val="left"/>
      <w:lvlText w:val="(%1)"/>
      <w:numFmt w:val="lowerLetter"/>
      <w:start w:val="3"/>
    </w:lvl>
  </w:abstractNum>
  <w:abstractNum w:abstractNumId="49">
    <w:nsid w:val="10233C99"/>
    <w:multiLevelType w:val="hybridMultilevel"/>
    <w:lvl w:ilvl="0">
      <w:lvlJc w:val="left"/>
      <w:lvlText w:val="(%1)"/>
      <w:numFmt w:val="lowerLetter"/>
      <w:start w:val="5"/>
    </w:lvl>
  </w:abstractNum>
  <w:abstractNum w:abstractNumId="50">
    <w:nsid w:val="3F6AB60F"/>
    <w:multiLevelType w:val="hybridMultilevel"/>
    <w:lvl w:ilvl="0">
      <w:lvlJc w:val="left"/>
      <w:lvlText w:val="(%1)"/>
      <w:numFmt w:val="lowerLetter"/>
      <w:start w:val="7"/>
    </w:lvl>
  </w:abstractNum>
  <w:abstractNum w:abstractNumId="51">
    <w:nsid w:val="61574095"/>
    <w:multiLevelType w:val="hybridMultilevel"/>
    <w:lvl w:ilvl="0">
      <w:lvlJc w:val="left"/>
      <w:lvlText w:val="%1"/>
      <w:numFmt w:val="upperLetter"/>
      <w:start w:val="1"/>
    </w:lvl>
    <w:lvl w:ilvl="1">
      <w:lvlJc w:val="left"/>
      <w:lvlText w:val="(%2)"/>
      <w:numFmt w:val="lowerLetter"/>
      <w:start w:val="8"/>
    </w:lvl>
  </w:abstractNum>
  <w:abstractNum w:abstractNumId="52">
    <w:nsid w:val="7E0C57B1"/>
    <w:multiLevelType w:val="hybridMultilevel"/>
    <w:lvl w:ilvl="0">
      <w:lvlJc w:val="left"/>
      <w:lvlText w:val="(%1)"/>
      <w:numFmt w:val="upperLetter"/>
      <w:start w:val="1"/>
    </w:lvl>
    <w:lvl w:ilvl="1">
      <w:lvlJc w:val="left"/>
      <w:lvlText w:val="%2"/>
      <w:numFmt w:val="lowerLetter"/>
      <w:start w:val="1"/>
    </w:lvl>
  </w:abstractNum>
  <w:abstractNum w:abstractNumId="53">
    <w:nsid w:val="77AE35EB"/>
    <w:multiLevelType w:val="hybridMultilevel"/>
    <w:lvl w:ilvl="0">
      <w:lvlJc w:val="left"/>
      <w:lvlText w:val="(%1)"/>
      <w:numFmt w:val="lowerLetter"/>
      <w:start w:val="10"/>
    </w:lvl>
  </w:abstractNum>
  <w:abstractNum w:abstractNumId="54">
    <w:nsid w:val="579BE4F1"/>
    <w:multiLevelType w:val="hybridMultilevel"/>
    <w:lvl w:ilvl="0">
      <w:lvlJc w:val="left"/>
      <w:lvlText w:val="(%1)"/>
      <w:numFmt w:val="lowerLetter"/>
      <w:start w:val="13"/>
    </w:lvl>
  </w:abstractNum>
  <w:abstractNum w:abstractNumId="55">
    <w:nsid w:val="310C50B3"/>
    <w:multiLevelType w:val="hybridMultilevel"/>
    <w:lvl w:ilvl="0">
      <w:lvlJc w:val="left"/>
      <w:lvlText w:val="(%1)"/>
      <w:numFmt w:val="lowerLetter"/>
      <w:start w:val="17"/>
    </w:lvl>
  </w:abstractNum>
  <w:abstractNum w:abstractNumId="56">
    <w:nsid w:val="5FF87E05"/>
    <w:multiLevelType w:val="hybridMultilevel"/>
    <w:lvl w:ilvl="0">
      <w:lvlJc w:val="left"/>
      <w:lvlText w:val="(%1)"/>
      <w:numFmt w:val="lowerLetter"/>
      <w:start w:val="19"/>
    </w:lvl>
  </w:abstractNum>
  <w:abstractNum w:abstractNumId="57">
    <w:nsid w:val="2F305DEF"/>
    <w:multiLevelType w:val="hybridMultilevel"/>
    <w:lvl w:ilvl="0">
      <w:lvlJc w:val="left"/>
      <w:lvlText w:val="(%1)"/>
      <w:numFmt w:val="lowerLetter"/>
      <w:start w:val="24"/>
    </w:lvl>
  </w:abstractNum>
  <w:abstractNum w:abstractNumId="58">
    <w:nsid w:val="25A70BF7"/>
    <w:multiLevelType w:val="hybridMultilevel"/>
    <w:lvl w:ilvl="0">
      <w:lvlJc w:val="left"/>
      <w:lvlText w:val="%1"/>
      <w:numFmt w:val="lowerLetter"/>
      <w:start w:val="1"/>
    </w:lvl>
    <w:lvl w:ilvl="1">
      <w:lvlJc w:val="left"/>
      <w:lvlText w:val="(%2)"/>
      <w:numFmt w:val="lowerLetter"/>
      <w:start w:val="27"/>
    </w:lvl>
  </w:abstractNum>
  <w:abstractNum w:abstractNumId="59">
    <w:nsid w:val="1DBABF00"/>
    <w:multiLevelType w:val="hybridMultilevel"/>
    <w:lvl w:ilvl="0">
      <w:lvlJc w:val="left"/>
      <w:lvlText w:val="(%1)"/>
      <w:numFmt w:val="lowerLetter"/>
      <w:start w:val="61"/>
    </w:lvl>
    <w:lvl w:ilvl="1">
      <w:lvlJc w:val="left"/>
      <w:lvlText w:val="(%2)"/>
      <w:numFmt w:val="lowerLetter"/>
      <w:start w:val="29"/>
    </w:lvl>
  </w:abstractNum>
  <w:abstractNum w:abstractNumId="60">
    <w:nsid w:val="4AD084E9"/>
    <w:multiLevelType w:val="hybridMultilevel"/>
    <w:lvl w:ilvl="0">
      <w:lvlJc w:val="left"/>
      <w:lvlText w:val="(%1)"/>
      <w:numFmt w:val="lowerLetter"/>
      <w:start w:val="30"/>
    </w:lvl>
  </w:abstractNum>
  <w:abstractNum w:abstractNumId="61">
    <w:nsid w:val="1F48EAA1"/>
    <w:multiLevelType w:val="hybridMultilevel"/>
    <w:lvl w:ilvl="0">
      <w:lvlJc w:val="left"/>
      <w:lvlText w:val="%1"/>
      <w:numFmt w:val="lowerLetter"/>
      <w:start w:val="1"/>
    </w:lvl>
    <w:lvl w:ilvl="1">
      <w:lvlJc w:val="left"/>
      <w:lvlText w:val="(%2)"/>
      <w:numFmt w:val="lowerLetter"/>
      <w:start w:val="33"/>
    </w:lvl>
  </w:abstractNum>
  <w:abstractNum w:abstractNumId="62">
    <w:nsid w:val="1381823A"/>
    <w:multiLevelType w:val="hybridMultilevel"/>
    <w:lvl w:ilvl="0">
      <w:lvlJc w:val="left"/>
      <w:lvlText w:val="(%1)"/>
      <w:numFmt w:val="lowerLetter"/>
      <w:start w:val="61"/>
    </w:lvl>
    <w:lvl w:ilvl="1">
      <w:lvlJc w:val="left"/>
      <w:lvlText w:val="(%2)"/>
      <w:numFmt w:val="lowerLetter"/>
      <w:start w:val="34"/>
    </w:lvl>
  </w:abstractNum>
  <w:abstractNum w:abstractNumId="63">
    <w:nsid w:val="5DB70AE5"/>
    <w:multiLevelType w:val="hybridMultilevel"/>
    <w:lvl w:ilvl="0">
      <w:lvlJc w:val="left"/>
      <w:lvlText w:val="(%1)"/>
      <w:numFmt w:val="lowerLetter"/>
      <w:start w:val="36"/>
    </w:lvl>
  </w:abstractNum>
  <w:abstractNum w:abstractNumId="64">
    <w:nsid w:val="100F8FCA"/>
    <w:multiLevelType w:val="hybridMultilevel"/>
    <w:lvl w:ilvl="0">
      <w:lvlJc w:val="left"/>
      <w:lvlText w:val="(%1)"/>
      <w:numFmt w:val="lowerLetter"/>
      <w:start w:val="38"/>
    </w:lvl>
  </w:abstractNum>
  <w:abstractNum w:abstractNumId="65">
    <w:nsid w:val="6590700B"/>
    <w:multiLevelType w:val="hybridMultilevel"/>
    <w:lvl w:ilvl="0">
      <w:lvlJc w:val="left"/>
      <w:lvlText w:val="%1"/>
      <w:numFmt w:val="decimal"/>
      <w:start w:val="1"/>
    </w:lvl>
    <w:lvl w:ilvl="1">
      <w:lvlJc w:val="left"/>
      <w:lvlText w:val="(%2)"/>
      <w:numFmt w:val="lowerLetter"/>
      <w:start w:val="1"/>
    </w:lvl>
  </w:abstractNum>
  <w:abstractNum w:abstractNumId="66">
    <w:nsid w:val="15014ACB"/>
    <w:multiLevelType w:val="hybridMultilevel"/>
    <w:lvl w:ilvl="0">
      <w:lvlJc w:val="left"/>
      <w:lvlText w:val="(%1)"/>
      <w:numFmt w:val="decimal"/>
      <w:start w:val="13"/>
    </w:lvl>
    <w:lvl w:ilvl="1">
      <w:lvlJc w:val="left"/>
      <w:lvlText w:val="(%2)"/>
      <w:numFmt w:val="lowerLetter"/>
      <w:start w:val="4"/>
    </w:lvl>
  </w:abstractNum>
  <w:abstractNum w:abstractNumId="67">
    <w:nsid w:val="5F5E7FD0"/>
    <w:multiLevelType w:val="hybridMultilevel"/>
    <w:lvl w:ilvl="0">
      <w:lvlJc w:val="left"/>
      <w:lvlText w:val="(%1)"/>
      <w:numFmt w:val="lowerLetter"/>
      <w:start w:val="6"/>
    </w:lvl>
  </w:abstractNum>
  <w:abstractNum w:abstractNumId="68">
    <w:nsid w:val="98A3148"/>
    <w:multiLevelType w:val="hybridMultilevel"/>
    <w:lvl w:ilvl="0">
      <w:lvlJc w:val="left"/>
      <w:lvlText w:val="(%1)"/>
      <w:numFmt w:val="lowerLetter"/>
      <w:start w:val="1"/>
    </w:lvl>
  </w:abstractNum>
  <w:abstractNum w:abstractNumId="69">
    <w:nsid w:val="799D0247"/>
    <w:multiLevelType w:val="hybridMultilevel"/>
    <w:lvl w:ilvl="0">
      <w:lvlJc w:val="left"/>
      <w:lvlText w:val="%1"/>
      <w:numFmt w:val="lowerLetter"/>
      <w:start w:val="1"/>
    </w:lvl>
    <w:lvl w:ilvl="1">
      <w:lvlJc w:val="left"/>
      <w:lvlText w:val="(%2)"/>
      <w:numFmt w:val="lowerLetter"/>
      <w:start w:val="2"/>
    </w:lvl>
  </w:abstractNum>
  <w:abstractNum w:abstractNumId="70">
    <w:nsid w:val="6B94764"/>
    <w:multiLevelType w:val="hybridMultilevel"/>
    <w:lvl w:ilvl="0">
      <w:lvlJc w:val="left"/>
      <w:lvlText w:val="(%1)"/>
      <w:numFmt w:val="lowerLetter"/>
      <w:start w:val="35"/>
    </w:lvl>
    <w:lvl w:ilvl="1">
      <w:lvlJc w:val="left"/>
      <w:lvlText w:val="(%2)"/>
      <w:numFmt w:val="lowerLetter"/>
      <w:start w:val="3"/>
    </w:lvl>
  </w:abstractNum>
  <w:abstractNum w:abstractNumId="71">
    <w:nsid w:val="42C296B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2026-06-22T05:07:55Z</dcterms:created>
  <dcterms:modified xsi:type="dcterms:W3CDTF">2026-06-22T05:07:55Z</dcterms:modified>
</cp:coreProperties>
</file>