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rvo20260805_s8.htm"/>
      <w:bookmarkStart w:id="1" w:name="kscrvo20260805_s8"/>
      <w:bookmarkStart w:id="2" w:name="crvo20260805_s8.htm"/>
      <w:bookmarkStart w:id="3" w:name="kscrvo20260805_s8"/>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filed with the Securities and Exchange Commission on August 7, 2026</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Registration No. 333-</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S-8</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REGISTRATION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CervoMed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28" w:type="dxa"/>
          <w:right w:w="0" w:type="dxa"/>
        </w:tblCellMar>
      </w:tblPr>
      <w:tblGrid>
        <w:gridCol w:w="2480"/>
        <w:gridCol w:w="60"/>
        <w:gridCol w:w="6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Boston, MA 02116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CervoMed Inc. 2025 Equity Incentive Plan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John Alam, M.D.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President &amp;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Boston, MA 02116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(617) 744-4400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Copies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William C. Hicks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Jason S. McCaffrey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Mintz Levin Cohn Ferris Glovsky &amp;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Popeo, P.C.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One Financial Center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Boston, MA 02111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(617) 542-6000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045"/>
        <w:gridCol w:w="60"/>
        <w:gridCol w:w="2450"/>
      </w:tblGrid>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This Registration Statement has been filed by CervoMed Inc. (the “Registrant,” “CervoMed,” “we,” “us” or “our”), with the United States Securities and Exchange Commission (the “Commission”) to register an additional 2,000,000 shares of common stock, par value $0.001 per share (“common stock”), reserved for future issuance under the Registrant’s 2025 Equity Incentive Plan, as amended by Amendment No. 1 (as amended, the “2025 Plan”), which amendment was approved by the Registrant’s stockholders on 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accordance with the instructional Note to Part I of Form S-8 as promulgated by the Commission, the information specified by Part I of Form S-8 has been omitted from this Registration Statement on Form S-8 for offers of the Registrant’s common stock pursuant to the 2025 Plan. The documents containing the information specified in Part I will be delivered to the participants in the 2025 Plan covered by this Registration Statement as required by Rule 428(b)(1)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In this registration statement, CervoMed Inc. is sometimes referred to as </w:t>
      </w:r>
      <w:r>
        <w:rPr>
          <w:rFonts w:ascii="Times New Roman" w:hAnsi="Times New Roman"/>
          <w:caps w:val="false"/>
          <w:smallCaps w:val="false"/>
          <w:sz w:val="20"/>
        </w:rPr>
        <w:t>“</w:t>
      </w:r>
      <w:r>
        <w:rPr>
          <w:rFonts w:ascii="Times New Roman" w:hAnsi="Times New Roman"/>
          <w:i/>
          <w:caps w:val="false"/>
          <w:smallCaps w:val="false"/>
          <w:sz w:val="20"/>
        </w:rPr>
        <w:t>Registrant,</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documents filed by the Registrant with the Commission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8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Registrant’s Annual Report on Form 10-K for the year ended December 31, 2025 filed with the Commission on </w:t>
            </w:r>
            <w:hyperlink r:id="rId2">
              <w:r>
                <w:rPr>
                  <w:rStyle w:val="InternetLink"/>
                  <w:rFonts w:ascii="Times New Roman" w:hAnsi="Times New Roman"/>
                  <w:caps w:val="false"/>
                  <w:smallCaps w:val="false"/>
                  <w:sz w:val="20"/>
                  <w:u w:val="single"/>
                </w:rPr>
                <w:t>March 13, 2026</w:t>
              </w:r>
            </w:hyperlink>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9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Registrant’s Quarterly Reports on Form 10-Q for the quarters ended (i) March 31, 2026 filed with the Commission on </w:t>
            </w:r>
            <w:hyperlink r:id="rId3">
              <w:r>
                <w:rPr>
                  <w:rStyle w:val="InternetLink"/>
                  <w:rFonts w:ascii="Times New Roman" w:hAnsi="Times New Roman"/>
                  <w:caps w:val="false"/>
                  <w:smallCaps w:val="false"/>
                  <w:sz w:val="20"/>
                  <w:u w:val="single"/>
                </w:rPr>
                <w:t>May 15, 2026</w:t>
              </w:r>
            </w:hyperlink>
            <w:r>
              <w:rPr>
                <w:rFonts w:ascii="Times New Roman" w:hAnsi="Times New Roman"/>
                <w:caps w:val="false"/>
                <w:smallCaps w:val="false"/>
                <w:sz w:val="20"/>
              </w:rPr>
              <w:t xml:space="preserve">, and (ii) June 30, 2026, filed with the Commission on </w:t>
            </w:r>
            <w:hyperlink r:id="rId4">
              <w:r>
                <w:rPr>
                  <w:rStyle w:val="InternetLink"/>
                  <w:rFonts w:ascii="Times New Roman" w:hAnsi="Times New Roman"/>
                  <w:caps w:val="false"/>
                  <w:smallCaps w:val="false"/>
                  <w:sz w:val="20"/>
                </w:rPr>
                <w:t>August 7, 2026</w:t>
              </w:r>
            </w:hyperlink>
            <w:r>
              <w:rPr>
                <w:rFonts w:ascii="Times New Roman" w:hAnsi="Times New Roman"/>
                <w:caps w:val="false"/>
                <w:smallCaps w:val="false"/>
                <w:sz w:val="20"/>
              </w:rPr>
              <w:t>;</w:t>
            </w:r>
          </w:p>
        </w:tc>
      </w:tr>
      <w:tr>
        <w:trPr/>
        <w:tc>
          <w:tcPr>
            <w:tcW w:w="210" w:type="dxa"/>
            <w:tcBorders/>
            <w:vAlign w:val="center"/>
          </w:tcPr>
          <w:p>
            <w:pPr>
              <w:pStyle w:val="TableContents"/>
              <w:bidi w:val="0"/>
              <w:spacing w:before="0" w:after="283"/>
              <w:jc w:val="left"/>
              <w:rPr/>
            </w:pPr>
            <w:r>
              <w:rPr/>
              <w:t> </w:t>
            </w:r>
          </w:p>
        </w:tc>
        <w:tc>
          <w:tcPr>
            <w:tcW w:w="9995" w:type="dxa"/>
            <w:tcBorders/>
            <w:vAlign w:val="center"/>
          </w:tcPr>
          <w:p>
            <w:pPr>
              <w:pStyle w:val="TableContents"/>
              <w:bidi w:val="0"/>
              <w:spacing w:before="0" w:after="283"/>
              <w:jc w:val="left"/>
              <w:rPr/>
            </w:pPr>
            <w:r>
              <w:rPr/>
              <w:t> </w:t>
            </w:r>
          </w:p>
        </w:tc>
      </w:tr>
      <w:tr>
        <w:trPr/>
        <w:tc>
          <w:tcPr>
            <w:tcW w:w="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Registrant’s Current Reports on Form 8-K as filed with the Commission on </w:t>
            </w:r>
            <w:hyperlink r:id="rId5">
              <w:r>
                <w:rPr>
                  <w:rStyle w:val="InternetLink"/>
                  <w:rFonts w:ascii="Times New Roman" w:hAnsi="Times New Roman"/>
                  <w:caps w:val="false"/>
                  <w:smallCaps w:val="false"/>
                  <w:sz w:val="20"/>
                  <w:u w:val="single"/>
                </w:rPr>
                <w:t>February 18, 2026</w:t>
              </w:r>
            </w:hyperlink>
            <w:r>
              <w:rPr>
                <w:rFonts w:ascii="Times New Roman" w:hAnsi="Times New Roman"/>
                <w:caps w:val="false"/>
                <w:smallCaps w:val="false"/>
                <w:sz w:val="20"/>
              </w:rPr>
              <w:t xml:space="preserve">, </w:t>
            </w:r>
            <w:hyperlink r:id="rId6">
              <w:r>
                <w:rPr>
                  <w:rStyle w:val="InternetLink"/>
                  <w:rFonts w:ascii="Times New Roman" w:hAnsi="Times New Roman"/>
                  <w:caps w:val="false"/>
                  <w:smallCaps w:val="false"/>
                  <w:sz w:val="20"/>
                  <w:u w:val="single"/>
                </w:rPr>
                <w:t>March 4, 2026</w:t>
              </w:r>
            </w:hyperlink>
            <w:r>
              <w:rPr>
                <w:rFonts w:ascii="Times New Roman" w:hAnsi="Times New Roman"/>
                <w:caps w:val="false"/>
                <w:smallCaps w:val="false"/>
                <w:sz w:val="20"/>
              </w:rPr>
              <w:t xml:space="preserve">, </w:t>
            </w:r>
            <w:hyperlink r:id="rId7">
              <w:r>
                <w:rPr>
                  <w:rStyle w:val="InternetLink"/>
                  <w:rFonts w:ascii="Times New Roman" w:hAnsi="Times New Roman"/>
                  <w:caps w:val="false"/>
                  <w:smallCaps w:val="false"/>
                  <w:sz w:val="20"/>
                  <w:u w:val="single"/>
                </w:rPr>
                <w:t>March 19, 2026</w:t>
              </w:r>
            </w:hyperlink>
            <w:r>
              <w:rPr>
                <w:rFonts w:ascii="Times New Roman" w:hAnsi="Times New Roman"/>
                <w:caps w:val="false"/>
                <w:smallCaps w:val="false"/>
                <w:sz w:val="20"/>
              </w:rPr>
              <w:t xml:space="preserve">, </w:t>
            </w:r>
            <w:hyperlink r:id="rId8">
              <w:r>
                <w:rPr>
                  <w:rStyle w:val="InternetLink"/>
                  <w:rFonts w:ascii="Times New Roman" w:hAnsi="Times New Roman"/>
                  <w:caps w:val="false"/>
                  <w:smallCaps w:val="false"/>
                  <w:sz w:val="20"/>
                  <w:u w:val="single"/>
                </w:rPr>
                <w:t>April 22, 2026</w:t>
              </w:r>
            </w:hyperlink>
            <w:r>
              <w:rPr>
                <w:rFonts w:ascii="Times New Roman" w:hAnsi="Times New Roman"/>
                <w:caps w:val="false"/>
                <w:smallCaps w:val="false"/>
                <w:sz w:val="20"/>
              </w:rPr>
              <w:t xml:space="preserve">, </w:t>
            </w:r>
            <w:hyperlink r:id="rId9">
              <w:r>
                <w:rPr>
                  <w:rStyle w:val="InternetLink"/>
                  <w:rFonts w:ascii="Times New Roman" w:hAnsi="Times New Roman"/>
                  <w:caps w:val="false"/>
                  <w:smallCaps w:val="false"/>
                  <w:sz w:val="20"/>
                  <w:u w:val="single"/>
                </w:rPr>
                <w:t>June 9, 2026</w:t>
              </w:r>
            </w:hyperlink>
            <w:r>
              <w:rPr>
                <w:rFonts w:ascii="Times New Roman" w:hAnsi="Times New Roman"/>
                <w:caps w:val="false"/>
                <w:smallCaps w:val="false"/>
                <w:sz w:val="20"/>
              </w:rPr>
              <w:t xml:space="preserve">, </w:t>
            </w:r>
            <w:hyperlink r:id="rId10">
              <w:r>
                <w:rPr>
                  <w:rStyle w:val="InternetLink"/>
                  <w:rFonts w:ascii="Times New Roman" w:hAnsi="Times New Roman"/>
                  <w:caps w:val="false"/>
                  <w:smallCaps w:val="false"/>
                  <w:sz w:val="20"/>
                  <w:u w:val="single"/>
                </w:rPr>
                <w:t>June 10, 2026</w:t>
              </w:r>
            </w:hyperlink>
            <w:r>
              <w:rPr>
                <w:rFonts w:ascii="Times New Roman" w:hAnsi="Times New Roman"/>
                <w:caps w:val="false"/>
                <w:smallCaps w:val="false"/>
                <w:sz w:val="20"/>
              </w:rPr>
              <w:t xml:space="preserve">, </w:t>
            </w:r>
            <w:hyperlink r:id="rId11">
              <w:r>
                <w:rPr>
                  <w:rStyle w:val="InternetLink"/>
                  <w:rFonts w:ascii="Times New Roman" w:hAnsi="Times New Roman"/>
                  <w:caps w:val="false"/>
                  <w:smallCaps w:val="false"/>
                  <w:sz w:val="20"/>
                  <w:u w:val="single"/>
                </w:rPr>
                <w:t>June 18, 2026</w:t>
              </w:r>
            </w:hyperlink>
            <w:r>
              <w:rPr>
                <w:rFonts w:ascii="Times New Roman" w:hAnsi="Times New Roman"/>
                <w:caps w:val="false"/>
                <w:smallCaps w:val="false"/>
                <w:sz w:val="20"/>
              </w:rPr>
              <w:t xml:space="preserve">, </w:t>
            </w:r>
            <w:hyperlink r:id="rId12">
              <w:r>
                <w:rPr>
                  <w:rStyle w:val="InternetLink"/>
                  <w:rFonts w:ascii="Times New Roman" w:hAnsi="Times New Roman"/>
                  <w:caps w:val="false"/>
                  <w:smallCaps w:val="false"/>
                  <w:sz w:val="20"/>
                  <w:u w:val="single"/>
                </w:rPr>
                <w:t>June 22, 2026</w:t>
              </w:r>
            </w:hyperlink>
            <w:r>
              <w:rPr>
                <w:rFonts w:ascii="Times New Roman" w:hAnsi="Times New Roman"/>
                <w:caps w:val="false"/>
                <w:smallCaps w:val="false"/>
                <w:sz w:val="20"/>
              </w:rPr>
              <w:t xml:space="preserve">, </w:t>
            </w:r>
            <w:hyperlink r:id="rId13">
              <w:r>
                <w:rPr>
                  <w:rStyle w:val="InternetLink"/>
                  <w:rFonts w:ascii="Times New Roman" w:hAnsi="Times New Roman"/>
                  <w:caps w:val="false"/>
                  <w:smallCaps w:val="false"/>
                  <w:sz w:val="20"/>
                  <w:u w:val="single"/>
                </w:rPr>
                <w:t>June 22, 2026</w:t>
              </w:r>
            </w:hyperlink>
            <w:r>
              <w:rPr>
                <w:rFonts w:ascii="Times New Roman" w:hAnsi="Times New Roman"/>
                <w:caps w:val="false"/>
                <w:smallCaps w:val="false"/>
                <w:sz w:val="20"/>
              </w:rPr>
              <w:t xml:space="preserve">, </w:t>
            </w:r>
            <w:hyperlink r:id="rId14">
              <w:r>
                <w:rPr>
                  <w:rStyle w:val="InternetLink"/>
                  <w:rFonts w:ascii="Times New Roman" w:hAnsi="Times New Roman"/>
                  <w:caps w:val="false"/>
                  <w:smallCaps w:val="false"/>
                  <w:sz w:val="20"/>
                  <w:u w:val="single"/>
                </w:rPr>
                <w:t>July 9, 2026</w:t>
              </w:r>
            </w:hyperlink>
            <w:r>
              <w:rPr>
                <w:rFonts w:ascii="Times New Roman" w:hAnsi="Times New Roman"/>
                <w:caps w:val="false"/>
                <w:smallCaps w:val="false"/>
                <w:sz w:val="20"/>
              </w:rPr>
              <w:t xml:space="preserve">, </w:t>
            </w:r>
            <w:hyperlink r:id="rId15">
              <w:r>
                <w:rPr>
                  <w:rStyle w:val="InternetLink"/>
                  <w:rFonts w:ascii="Times New Roman" w:hAnsi="Times New Roman"/>
                  <w:caps w:val="false"/>
                  <w:smallCaps w:val="false"/>
                  <w:sz w:val="20"/>
                  <w:u w:val="single"/>
                </w:rPr>
                <w:t>July 14, 2026</w:t>
              </w:r>
            </w:hyperlink>
            <w:r>
              <w:rPr>
                <w:rFonts w:ascii="Times New Roman" w:hAnsi="Times New Roman"/>
                <w:caps w:val="false"/>
                <w:smallCaps w:val="false"/>
                <w:sz w:val="20"/>
              </w:rPr>
              <w:t xml:space="preserve">, and </w:t>
            </w:r>
            <w:hyperlink r:id="rId16">
              <w:r>
                <w:rPr>
                  <w:rStyle w:val="InternetLink"/>
                  <w:rFonts w:ascii="Times New Roman" w:hAnsi="Times New Roman"/>
                  <w:caps w:val="false"/>
                  <w:smallCaps w:val="false"/>
                  <w:sz w:val="20"/>
                  <w:u w:val="single"/>
                </w:rPr>
                <w:t>August 4, 2026</w:t>
              </w:r>
            </w:hyperlink>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description of the Registrant’s common stock included in the description of securities filed as </w:t>
            </w:r>
            <w:hyperlink r:id="rId17">
              <w:r>
                <w:rPr>
                  <w:rStyle w:val="InternetLink"/>
                  <w:rFonts w:ascii="Times New Roman" w:hAnsi="Times New Roman"/>
                  <w:caps w:val="false"/>
                  <w:smallCaps w:val="false"/>
                  <w:sz w:val="20"/>
                  <w:u w:val="single"/>
                </w:rPr>
                <w:t>Exhibit 4.16</w:t>
              </w:r>
            </w:hyperlink>
            <w:r>
              <w:rPr>
                <w:rFonts w:ascii="Times New Roman" w:hAnsi="Times New Roman"/>
                <w:caps w:val="false"/>
                <w:smallCaps w:val="false"/>
                <w:sz w:val="20"/>
              </w:rPr>
              <w:t> to the Registrant’s Annual Report on Form 10-K for the year ended December 31, 2023, filed with the Commission on March 29, 2024, as such description has been amended, and any amendment or report the Registrant may file with the Commission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All reports and other documents filed by the Registrant after the date hereof pursuant to Sections 13(a), 13(c), 14 and 15(d) of the Exchange Act of 1934, as amended (the “Exchange Act”) (other than Current Reports furnished under Item 2.02 or Item 7.01 of Form 8-K and exhibits furnished on such form that relate to such items),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Any statement contained herein or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b/>
          <w:caps w:val="false"/>
          <w:smallCaps w:val="false"/>
          <w:sz w:val="20"/>
        </w:rPr>
        <w:t>Item 5.</w:t>
      </w:r>
      <w:r>
        <w:rPr>
          <w:rFonts w:ascii="Times New Roman" w:hAnsi="Times New Roman"/>
          <w:caps w:val="false"/>
          <w:smallCaps w:val="false"/>
          <w:sz w:val="20"/>
        </w:rPr>
        <w:t xml:space="preserve"> </w:t>
      </w:r>
      <w:r>
        <w:rPr>
          <w:rFonts w:ascii="Times New Roman" w:hAnsi="Times New Roman"/>
          <w:b/>
          <w:caps w:val="false"/>
          <w:smallCaps w:val="false"/>
          <w:sz w:val="20"/>
        </w:rPr>
        <w:t>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xml:space="preserve"> </w:t>
      </w:r>
      <w:r>
        <w:rPr>
          <w:rFonts w:ascii="Times New Roman" w:hAnsi="Times New Roman"/>
          <w:b/>
          <w:caps w:val="false"/>
          <w:smallCaps w:val="false"/>
          <w:sz w:val="20"/>
        </w:rPr>
        <w:t>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permitted by Section 102 of the General Corporation Law of the State of Delaware (the “DGCL”), the Company’s certificate of incorporation, as amended (the “Charter”), eliminates the liability of directors to the Company or its stockholders for monetary damages for breach of fiduciary duty as a director, except to the extent otherwise required by the DGCL,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145 of the DGCL permits indemnification of officers and directors under certain circumstances in connection with liabilities (including reimbursement for expenses incurred) arising under the Securities Act. The Charter provides that the Company will indemnify any person who is or was made a party to any proceeding by reason of the fact that such person is or was a director or officer of the Company against expenses, judgments, fines, penalties, and amounts paid in settlement incurred in connection therewith to the fullest extent authorized by the DGCL. The Company’s bylaws, as amended (the “Bylaws”), provide for a similar indemnity to directors and officers of the Company to the fullest extent authorized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Bylaws authorize the Company’s board of directors to enter into indemnification contracts with each of its officers and directors. The Company has entered into indemnification contracts with each of its directors and executive officers. The indemnification contracts provide for the indemnification of directors and officers against all expenses, liability, and loss actually reasonably incurred to the fullest extent permitted by the Company’s Charter, Bylaws,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Bylaws also authorize the Company to maintain insurance to protect any director or officer against any expense, liability, or loss, whether or not the Company would have the power to indemnify such person against such expense, liability, or loss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Insofar as indemnification for liabilities arising under the Securities Act may be permitted to directors, officers and controlling persons of the Company pursuant to the foregoing provisions, the Company has been advised that in the opinion of the SEC such indemnification is against public policy as expressed in the Securities Act and is, therefore,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b/>
          <w:caps w:val="false"/>
          <w:smallCaps w:val="false"/>
          <w:sz w:val="20"/>
        </w:rPr>
        <w:t>Item 7.</w:t>
      </w:r>
      <w:r>
        <w:rPr>
          <w:rFonts w:ascii="Times New Roman" w:hAnsi="Times New Roman"/>
          <w:caps w:val="false"/>
          <w:smallCaps w:val="false"/>
          <w:sz w:val="20"/>
        </w:rPr>
        <w:t xml:space="preserve"> </w:t>
      </w:r>
      <w:r>
        <w:rPr>
          <w:rFonts w:ascii="Times New Roman" w:hAnsi="Times New Roman"/>
          <w:b/>
          <w:caps w:val="false"/>
          <w:smallCaps w:val="false"/>
          <w:sz w:val="20"/>
        </w:rPr>
        <w:t>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b/>
          <w:caps w:val="false"/>
          <w:smallCaps w:val="false"/>
          <w:sz w:val="20"/>
        </w:rPr>
        <w:t>Item 8.</w:t>
      </w:r>
      <w:r>
        <w:rPr>
          <w:rFonts w:ascii="Times New Roman" w:hAnsi="Times New Roman"/>
          <w:caps w:val="false"/>
          <w:smallCaps w:val="false"/>
          <w:sz w:val="20"/>
        </w:rPr>
        <w:t xml:space="preserve">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Reference is made under this Item 8 to the exhibit list below, included in this Registration Statement.</w:t>
      </w:r>
    </w:p>
    <w:tbl>
      <w:tblPr>
        <w:tblW w:w="10205" w:type="dxa"/>
        <w:jc w:val="left"/>
        <w:tblInd w:w="0" w:type="dxa"/>
        <w:tblLayout w:type="fixed"/>
        <w:tblCellMar>
          <w:top w:w="0" w:type="dxa"/>
          <w:left w:w="0" w:type="dxa"/>
          <w:bottom w:w="0" w:type="dxa"/>
          <w:right w:w="0" w:type="dxa"/>
        </w:tblCellMar>
      </w:tblPr>
      <w:tblGrid>
        <w:gridCol w:w="1053"/>
        <w:gridCol w:w="60"/>
        <w:gridCol w:w="6180"/>
        <w:gridCol w:w="60"/>
        <w:gridCol w:w="500"/>
        <w:gridCol w:w="60"/>
        <w:gridCol w:w="661"/>
        <w:gridCol w:w="60"/>
        <w:gridCol w:w="710"/>
        <w:gridCol w:w="60"/>
        <w:gridCol w:w="801"/>
      </w:tblGrid>
      <w:tr>
        <w:trPr/>
        <w:tc>
          <w:tcPr>
            <w:tcW w:w="10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Incorporated by</w:t>
            </w:r>
            <w:r>
              <w:rPr>
                <w:rFonts w:ascii="Times New Roman" w:hAnsi="Times New Roman"/>
                <w:caps w:val="false"/>
                <w:smallCaps w:val="false"/>
                <w:sz w:val="20"/>
              </w:rPr>
              <w:br/>
            </w:r>
            <w:r>
              <w:rPr>
                <w:rFonts w:ascii="Times New Roman" w:hAnsi="Times New Roman"/>
                <w:b/>
                <w:caps w:val="false"/>
                <w:smallCaps w:val="false"/>
                <w:sz w:val="20"/>
              </w:rPr>
              <w:t>Reference</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10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Number</w:t>
            </w:r>
          </w:p>
        </w:tc>
        <w:tc>
          <w:tcPr>
            <w:tcW w:w="60" w:type="dxa"/>
            <w:tcBorders/>
            <w:vAlign w:val="center"/>
          </w:tcPr>
          <w:p>
            <w:pPr>
              <w:pStyle w:val="TableContents"/>
              <w:bidi w:val="0"/>
              <w:spacing w:before="0" w:after="283"/>
              <w:jc w:val="left"/>
              <w:rPr/>
            </w:pPr>
            <w:r>
              <w:rPr/>
              <w:t> </w:t>
            </w:r>
          </w:p>
        </w:tc>
        <w:tc>
          <w:tcPr>
            <w:tcW w:w="61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c>
          <w:tcPr>
            <w:tcW w:w="60" w:type="dxa"/>
            <w:tcBorders/>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Filed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Herewith</w:t>
            </w:r>
          </w:p>
        </w:tc>
      </w:tr>
      <w:tr>
        <w:trPr/>
        <w:tc>
          <w:tcPr>
            <w:tcW w:w="10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4.1.1</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Certificate of Incorporation, as amended.</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3/24/2023</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4.1.2</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Certificate of Amendment, dated August 16, 2023 to the Certificate of Incorporation, as amended, to implement the Reverse Stock Split.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8/17/2023</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4.1.3</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u w:val="single"/>
                </w:rPr>
                <w:t>Certificate of Amendment, dated August 16, 2023 to the Certificate of Incorporation, as amended, to implement the name change.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8/17/2023</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u w:val="single"/>
                </w:rPr>
                <w:t>Bylaws, as amended, of CervoMed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8/17/2023</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w:anchor="ex_999622.htm">
              <w:r>
                <w:rPr>
                  <w:rStyle w:val="InternetLink"/>
                  <w:rFonts w:ascii="Times New Roman" w:hAnsi="Times New Roman"/>
                  <w:caps w:val="false"/>
                  <w:smallCaps w:val="false"/>
                  <w:sz w:val="20"/>
                </w:rPr>
                <w:t>Opinion of Mintz, Levin, Cohn, Ferris, Glovsky and Popeo, P.C.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w:anchor="ex_1000405.htm">
              <w:r>
                <w:rPr>
                  <w:rStyle w:val="InternetLink"/>
                  <w:rFonts w:ascii="Times New Roman" w:hAnsi="Times New Roman"/>
                  <w:caps w:val="false"/>
                  <w:smallCaps w:val="false"/>
                  <w:sz w:val="20"/>
                </w:rPr>
                <w:t>Consent of RSM US, LLP, independent registered public accounting firm.</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w:anchor="ex_999622.htm">
              <w:r>
                <w:rPr>
                  <w:rStyle w:val="InternetLink"/>
                  <w:rFonts w:ascii="Times New Roman" w:hAnsi="Times New Roman"/>
                  <w:caps w:val="false"/>
                  <w:smallCaps w:val="false"/>
                  <w:sz w:val="20"/>
                </w:rPr>
                <w:t>Consent of Mintz, Levin, Cohn, Ferris, Glovsky and Popeo, P.C. (included in Exhibit 5.1).</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rPr>
                <w:t>Power of Attorney (included on the signature page of this Registration Statement).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u w:val="single"/>
                </w:rPr>
                <w:t>CervoMed Inc. 2025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8/8/2025</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w:anchor="ex_1000423.htm">
              <w:r>
                <w:rPr>
                  <w:rStyle w:val="InternetLink"/>
                  <w:rFonts w:ascii="Times New Roman" w:hAnsi="Times New Roman"/>
                  <w:caps w:val="false"/>
                  <w:smallCaps w:val="false"/>
                  <w:sz w:val="20"/>
                </w:rPr>
                <w:t>Amendment No. 1 to CervoMed Inc. 2025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99.3#</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sz w:val="20"/>
                  <w:u w:val="single"/>
                </w:rPr>
                <w:t>Form of Stock Option Award Agreement under 2025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11/7/2025</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0"/>
              <w:ind w:left="0" w:right="0" w:hanging="0"/>
              <w:jc w:val="left"/>
              <w:rPr/>
            </w:pPr>
            <w:hyperlink w:anchor="ex_999623.htm">
              <w:r>
                <w:rPr>
                  <w:rStyle w:val="InternetLink"/>
                  <w:rFonts w:ascii="Times New Roman" w:hAnsi="Times New Roman"/>
                  <w:caps w:val="false"/>
                  <w:smallCaps w:val="false"/>
                  <w:sz w:val="20"/>
                </w:rPr>
                <w:t>Calculation of Filing Fee Table.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Indicates management contract or compensatory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b/>
          <w:caps w:val="false"/>
          <w:smallCaps w:val="false"/>
          <w:sz w:val="20"/>
        </w:rPr>
        <w:t>Item 9.</w:t>
      </w:r>
      <w:r>
        <w:rPr>
          <w:rFonts w:ascii="Times New Roman" w:hAnsi="Times New Roman"/>
          <w:caps w:val="false"/>
          <w:smallCaps w:val="false"/>
          <w:sz w:val="20"/>
        </w:rPr>
        <w:t xml:space="preserve"> </w:t>
      </w:r>
      <w:r>
        <w:rPr>
          <w:rFonts w:ascii="Times New Roman" w:hAnsi="Times New Roman"/>
          <w:b/>
          <w:caps w:val="false"/>
          <w:smallCaps w:val="false"/>
          <w:sz w:val="20"/>
        </w:rPr>
        <w:t>Undertakings.</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170"/>
        <w:gridCol w:w="28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2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200"/>
        <w:gridCol w:w="6230"/>
      </w:tblGrid>
      <w:tr>
        <w:trPr/>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99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Provided, however</w:t>
      </w:r>
      <w:r>
        <w:rPr>
          <w:rFonts w:ascii="Times New Roman" w:hAnsi="Times New Roman"/>
          <w:caps w:val="false"/>
          <w:smallCaps w:val="false"/>
          <w:sz w:val="20"/>
        </w:rPr>
        <w:t>,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15(d) of the Exchange Act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caps w:val="false"/>
                <w:smallCaps w:val="false"/>
                <w:sz w:val="20"/>
              </w:rPr>
              <w:t xml:space="preserve">bona fide </w:t>
            </w:r>
            <w:r>
              <w:rPr>
                <w:rFonts w:ascii="Times New Roman;Times;serif" w:hAnsi="Times New Roman;Times;serif"/>
                <w:caps w:val="false"/>
                <w:smallCaps w:val="false"/>
                <w:sz w:val="20"/>
              </w:rPr>
              <w:t>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2.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aps w:val="false"/>
          <w:smallCaps w:val="false"/>
          <w:sz w:val="20"/>
        </w:rPr>
        <w:t>bona fide</w:t>
      </w:r>
      <w:r>
        <w:rPr>
          <w:rFonts w:ascii="Times New Roman" w:hAnsi="Times New Roman"/>
          <w:caps w:val="false"/>
          <w:smallCaps w:val="false"/>
          <w:sz w:val="20"/>
        </w:rPr>
        <w:t xml:space="preserv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has duly caused this Registration Statement on Form S-8 to be signed on its behalf by the undersigned, thereunto duly authorized, in Boston, Massachusetts, on the 7th day of August, 2026.</w:t>
      </w:r>
    </w:p>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320"/>
        <w:gridCol w:w="2945"/>
        <w:gridCol w:w="60"/>
      </w:tblGrid>
      <w:tr>
        <w:trPr/>
        <w:tc>
          <w:tcPr>
            <w:tcW w:w="6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9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Alam, MD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Alam, MD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President &amp;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 w:name="poa"/>
      <w:bookmarkEnd w:id="4"/>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hereby constitutes and appoints each of John Alam, MD and William Elder as his or her true and lawful attorneys-in-fact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2270"/>
        <w:gridCol w:w="60"/>
        <w:gridCol w:w="5180"/>
        <w:gridCol w:w="60"/>
        <w:gridCol w:w="1265"/>
      </w:tblGrid>
      <w:tr>
        <w:trPr/>
        <w:tc>
          <w:tcPr>
            <w:tcW w:w="22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1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2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22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Alam, MD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7, 2026</w:t>
            </w:r>
          </w:p>
        </w:tc>
      </w:tr>
      <w:tr>
        <w:trPr/>
        <w:tc>
          <w:tcPr>
            <w:tcW w:w="2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Alam, MD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General Counsel</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7, 2026</w:t>
            </w:r>
          </w:p>
        </w:tc>
      </w:tr>
      <w:tr>
        <w:trPr/>
        <w:tc>
          <w:tcPr>
            <w:tcW w:w="2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Joshua S. Boger, PhD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 of the Board of Directors</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7, 2026</w:t>
            </w:r>
          </w:p>
        </w:tc>
      </w:tr>
      <w:tr>
        <w:trPr/>
        <w:tc>
          <w:tcPr>
            <w:tcW w:w="2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Joshua S. Boger, PhD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Sylvie Grégoire, PharmD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7, 2026</w:t>
            </w:r>
          </w:p>
        </w:tc>
      </w:tr>
      <w:tr>
        <w:trPr/>
        <w:tc>
          <w:tcPr>
            <w:tcW w:w="2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Sylvie Grégoire, PharmD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Jane Hollingsworth, JD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7, 2026</w:t>
            </w:r>
          </w:p>
        </w:tc>
      </w:tr>
      <w:tr>
        <w:trPr/>
        <w:tc>
          <w:tcPr>
            <w:tcW w:w="2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Jane Hollingsworth, JD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 Poulton</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7, 2026</w:t>
            </w:r>
          </w:p>
        </w:tc>
      </w:tr>
      <w:tr>
        <w:trPr/>
        <w:tc>
          <w:tcPr>
            <w:tcW w:w="2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 Poulton</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David Quigley</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7, 2026</w:t>
            </w:r>
          </w:p>
        </w:tc>
      </w:tr>
      <w:tr>
        <w:trPr/>
        <w:tc>
          <w:tcPr>
            <w:tcW w:w="2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 Quigley</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Marwan Sabbagh, MD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7, 2026</w:t>
            </w:r>
          </w:p>
        </w:tc>
      </w:tr>
      <w:tr>
        <w:trPr/>
        <w:tc>
          <w:tcPr>
            <w:tcW w:w="2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Marwan Sabbagh, MD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r>
        <w:trPr/>
        <w:tc>
          <w:tcPr>
            <w:tcW w:w="22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Frank Zavrl</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7, 2026</w:t>
            </w:r>
          </w:p>
        </w:tc>
      </w:tr>
      <w:tr>
        <w:trPr/>
        <w:tc>
          <w:tcPr>
            <w:tcW w:w="2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Frank Zavrl</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 w:name="ex_999622.htm"/>
      <w:bookmarkStart w:id="6" w:name="ksex_999622"/>
      <w:bookmarkEnd w:id="5"/>
      <w:bookmarkEnd w:id="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3305" w:type="dxa"/>
        <w:jc w:val="left"/>
        <w:tblInd w:w="0" w:type="dxa"/>
        <w:tblLayout w:type="fixed"/>
        <w:tblCellMar>
          <w:top w:w="0" w:type="dxa"/>
          <w:left w:w="0" w:type="dxa"/>
          <w:bottom w:w="0" w:type="dxa"/>
          <w:right w:w="0" w:type="dxa"/>
        </w:tblCellMar>
      </w:tblPr>
      <w:tblGrid>
        <w:gridCol w:w="60"/>
        <w:gridCol w:w="1500"/>
        <w:gridCol w:w="1745"/>
      </w:tblGrid>
      <w:tr>
        <w:trPr/>
        <w:tc>
          <w:tcPr>
            <w:tcW w:w="60"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95250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4"/>
                          <a:stretch>
                            <a:fillRect/>
                          </a:stretch>
                        </pic:blipFill>
                        <pic:spPr bwMode="auto">
                          <a:xfrm>
                            <a:off x="0" y="0"/>
                            <a:ext cx="952500" cy="1095375"/>
                          </a:xfrm>
                          <a:prstGeom prst="rect">
                            <a:avLst/>
                          </a:prstGeom>
                        </pic:spPr>
                      </pic:pic>
                    </a:graphicData>
                  </a:graphic>
                </wp:inline>
              </w:drawing>
            </w:r>
          </w:p>
        </w:tc>
        <w:tc>
          <w:tcPr>
            <w:tcW w:w="174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One Financial Center</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Boston, MA  02111</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617 542 6000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mintz.com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w:t>
        <w:br/>
        <w:t>20 Park Plaza, Suite 424</w:t>
        <w:br/>
        <w:t>Boston, Massachusetts 02116</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60"/>
        <w:gridCol w:w="335"/>
        <w:gridCol w:w="2915"/>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w:t>
            </w:r>
          </w:p>
        </w:tc>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have acted as legal counsel to CervoMed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in connection with the preparation and filing with the Securities and Exchange Commission (the “</w:t>
      </w:r>
      <w:r>
        <w:rPr>
          <w:rFonts w:ascii="Times New Roman" w:hAnsi="Times New Roman"/>
          <w:caps w:val="false"/>
          <w:smallCaps w:val="false"/>
          <w:sz w:val="20"/>
          <w:u w:val="single"/>
        </w:rPr>
        <w:t>Commission</w:t>
      </w:r>
      <w:r>
        <w:rPr>
          <w:rFonts w:ascii="Times New Roman" w:hAnsi="Times New Roman"/>
          <w:caps w:val="false"/>
          <w:smallCaps w:val="false"/>
          <w:sz w:val="20"/>
        </w:rPr>
        <w:t>”) of a Registration Statement on Form S-8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pursuant to which the Company is registering the issuance under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of up to 2,000,000 shares of the Company’s common stock, $0.001 par value per share (the “</w:t>
      </w:r>
      <w:r>
        <w:rPr>
          <w:rFonts w:ascii="Times New Roman" w:hAnsi="Times New Roman"/>
          <w:caps w:val="false"/>
          <w:smallCaps w:val="false"/>
          <w:sz w:val="20"/>
          <w:u w:val="single"/>
        </w:rPr>
        <w:t>Shares</w:t>
      </w:r>
      <w:r>
        <w:rPr>
          <w:rFonts w:ascii="Times New Roman" w:hAnsi="Times New Roman"/>
          <w:caps w:val="false"/>
          <w:smallCaps w:val="false"/>
          <w:sz w:val="20"/>
        </w:rPr>
        <w:t>”), that may be issued pursuant to the Company’s 2025 Equity Incentive Plan, as amended by Amendment No. 1 (as amended, the “</w:t>
      </w:r>
      <w:r>
        <w:rPr>
          <w:rFonts w:ascii="Times New Roman" w:hAnsi="Times New Roman"/>
          <w:caps w:val="false"/>
          <w:smallCaps w:val="false"/>
          <w:sz w:val="20"/>
          <w:u w:val="single"/>
        </w:rPr>
        <w:t>2025 Plan</w:t>
      </w:r>
      <w:r>
        <w:rPr>
          <w:rFonts w:ascii="Times New Roman" w:hAnsi="Times New Roman"/>
          <w:caps w:val="false"/>
          <w:smallCaps w:val="false"/>
          <w:sz w:val="20"/>
        </w:rPr>
        <w:t>”). This opinion is being rendered in connection with the filing of the Registration Statement with the Commission. All capitalized terms used herein and not otherwise defined shall have the respective meanings given to them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this opinion, we have examined the Company’s Certificate of Incorporation, as amended, and Bylaws, as amended, each as currently in effect; the 2025 Plan; such other records of the corporate proceedings of the Company and certificates of the Company’s officers as we have deemed relevant; and the Registration Statement and the exhibits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the authenticity of the originals of such copies, and the truth and correctness of any representations and warranties contained therein. In addition, we have assumed that the Company will receive any required consideration in accordance with the terms of the 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BOSTON    LOS ANGELES    MIAMI    NEW YORK    SAN DIEGO    SAN FRANCISCO    TORONTO     WASHINGTON</w:t>
      </w:r>
    </w:p>
    <w:p>
      <w:pPr>
        <w:pStyle w:val="TextBody"/>
        <w:bidi w:val="0"/>
        <w:spacing w:before="0" w:after="0"/>
        <w:ind w:left="160" w:right="0" w:hanging="0"/>
        <w:jc w:val="center"/>
        <w:rPr>
          <w:rFonts w:ascii="Times New Roman" w:hAnsi="Times New Roman"/>
          <w:smallCaps/>
          <w:sz w:val="16"/>
        </w:rPr>
      </w:pPr>
      <w:r>
        <w:rPr>
          <w:rFonts w:ascii="Times New Roman" w:hAnsi="Times New Roman"/>
          <w:smallCaps/>
          <w:sz w:val="16"/>
        </w:rPr>
        <w:t>MINTZ, LEVIN, COHN, FERRIS, GLOVSKY AND POPEO,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265"/>
        <w:gridCol w:w="765"/>
      </w:tblGrid>
      <w:tr>
        <w:trPr/>
        <w:tc>
          <w:tcPr>
            <w:tcW w:w="12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MINTZ</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7, 2026</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2</w:t>
            </w:r>
          </w:p>
        </w:tc>
        <w:tc>
          <w:tcPr>
            <w:tcW w:w="765"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48577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485775" cy="6000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Based upon the foregoing, we are of the opinion that the Shares, when issued and delivered in accordance with the terms of the 2025 Plan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4550" w:type="dxa"/>
        <w:jc w:val="left"/>
        <w:tblInd w:w="0" w:type="dxa"/>
        <w:tblLayout w:type="fixed"/>
        <w:tblCellMar>
          <w:top w:w="0" w:type="dxa"/>
          <w:left w:w="0" w:type="dxa"/>
          <w:bottom w:w="0" w:type="dxa"/>
          <w:right w:w="0" w:type="dxa"/>
        </w:tblCellMar>
      </w:tblPr>
      <w:tblGrid>
        <w:gridCol w:w="60"/>
        <w:gridCol w:w="4490"/>
      </w:tblGrid>
      <w:tr>
        <w:trPr/>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Mintz, Levin, Cohn, Ferris, Glovsky and Popeo, P.C.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Mintz, Levin, Cohn, Ferris, Glovsky and Popeo,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7" w:name="ex_1000405.htm"/>
      <w:bookmarkStart w:id="8" w:name="ksex_1000405"/>
      <w:bookmarkEnd w:id="7"/>
      <w:bookmarkEnd w:id="8"/>
      <w:r>
        <w:rPr>
          <w:rFonts w:ascii="Times New Roman;Times;serif" w:hAnsi="Times New Roman;Times;serif"/>
          <w:b/>
          <w:sz w:val="20"/>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 on Form S-8 of CervoMed Inc. of our report dated March 13, 2026, relating to the consolidated financial statements of CervoMed Inc. and its subsidiaries, appearing in the Annual Report on Form 10-K of CervoMed Inc. for the year ended December 31, 2025, which is incorporated by reference in this Registration Statement of Form S-8 of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Boston, Massachusetts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9" w:name="ex_1000423.htm"/>
      <w:bookmarkStart w:id="10" w:name="ksex_1000423"/>
      <w:bookmarkEnd w:id="9"/>
      <w:bookmarkEnd w:id="10"/>
      <w:r>
        <w:rPr>
          <w:rFonts w:ascii="Times New Roman;Times;serif" w:hAnsi="Times New Roman;Times;serif"/>
          <w:b/>
          <w:sz w:val="20"/>
        </w:rPr>
        <w:t>Exhibit 99.2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NO. 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THE CERVOMED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AMENDMENT NO. 1 TO THE CERVOMED INC. 2025 EQUITY INCENTIVE PLAN (this “</w:t>
      </w:r>
      <w:r>
        <w:rPr>
          <w:rFonts w:ascii="Times New Roman" w:hAnsi="Times New Roman"/>
          <w:caps w:val="false"/>
          <w:smallCaps w:val="false"/>
          <w:sz w:val="20"/>
          <w:u w:val="single"/>
        </w:rPr>
        <w:t>Amendment</w:t>
      </w:r>
      <w:r>
        <w:rPr>
          <w:rFonts w:ascii="Times New Roman" w:hAnsi="Times New Roman"/>
          <w:caps w:val="false"/>
          <w:smallCaps w:val="false"/>
          <w:sz w:val="20"/>
        </w:rPr>
        <w:t>”) is made as of 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19 of the CervoMed Inc. 2025 Equity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the Plan is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Effective upon the approval of the holders of at least a majority of the outstanding shares of stock of CervoMed Inc. (the “</w:t>
      </w:r>
      <w:r>
        <w:rPr>
          <w:rFonts w:ascii="Times New Roman" w:hAnsi="Times New Roman"/>
          <w:caps w:val="false"/>
          <w:smallCaps w:val="false"/>
          <w:sz w:val="20"/>
          <w:u w:val="single"/>
        </w:rPr>
        <w:t>Company</w:t>
      </w:r>
      <w:r>
        <w:rPr>
          <w:rFonts w:ascii="Times New Roman" w:hAnsi="Times New Roman"/>
          <w:caps w:val="false"/>
          <w:smallCaps w:val="false"/>
          <w:sz w:val="20"/>
        </w:rPr>
        <w:t>”) entitled to vote at the Company’s 2026 Annual Meeting of Stockholders, Section 4.1 of the Plan is hereby deleted and replaced in its entirety by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4.1 </w:t>
      </w:r>
      <w:r>
        <w:rPr>
          <w:rFonts w:ascii="Times New Roman" w:hAnsi="Times New Roman"/>
          <w:caps w:val="false"/>
          <w:smallCaps w:val="false"/>
          <w:sz w:val="20"/>
          <w:u w:val="single"/>
        </w:rPr>
        <w:t>Maximum Number of Shares Available</w:t>
      </w:r>
      <w:r>
        <w:rPr>
          <w:rFonts w:ascii="Times New Roman" w:hAnsi="Times New Roman"/>
          <w:caps w:val="false"/>
          <w:smallCaps w:val="false"/>
          <w:sz w:val="20"/>
        </w:rPr>
        <w:t>. Certain Restrictions on Awards. Subject to adjustment as provided in Section 4.3 of the Plan, the maximum number of shares of Common Stock that will be available for issuance under the Plan will be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2,800,000 (the “</w:t>
      </w:r>
      <w:r>
        <w:rPr>
          <w:rFonts w:ascii="Times New Roman" w:hAnsi="Times New Roman"/>
          <w:caps w:val="false"/>
          <w:smallCaps w:val="false"/>
          <w:sz w:val="20"/>
          <w:u w:val="single"/>
        </w:rPr>
        <w:t>Base Amount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the number of shares issued or Incentive Awards granted under the Plan in connection with the settlement, assumption or substitution of outstanding awards or obligations to grant future awards as a condition of the Company and/or any Subsidiary(ies) acquiring, merging or consolidating with another entity;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the number of shares that are unallocated and available for grant under a stock plan assumed by the Company or any Subsidiary(ies) in connection with the merger, consolidation, or acquisition of another entity by the Company and/or any of its Subsidiaries, based on the applicable exchange ratio and other transaction terms, but only to the extent that such shares may be utilized by the Company or its Subsidiaries following the transaction pursuant to the rules and regulations of The NASDAQ Stock Market (or other applicable exchange or market on which the Company’s Common Stock may be traded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shares available for issuance under the Plan may, at the election of the Committee, be either treasury shares or shares authorized but unissued, and, if treasury shares are used, all references in the Plan to the issuance of shares will, for corporate law purposes, be deemed to mean the transfer of shares from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 other provisions of the Plan to the contrary, (i) no more than 2,800,000 shares of Common Stock may be issued pursuant to the exercise of Incentive Stock Options granted under the Plan; and (ii) no Participant may be granted Incentive Awards covering more than 400,000 shares of Common Stock during any one calendar year. All of the foregoing share limits are subject, in each case, to adjustment as provided in Section 4.3 of the Plan. Incentive Stock Options issued as a result of the Company’s assumption or substitution of like awards issued by any acquired, merged or consolidated entity pursuant to applicable provisions of the Code will not count towards the limit in clause (i). Incentive Awards issued as a result of the Company’s assumption or substitution of like awards issued by any acquired, merged or consolidated entity will not count towards the limit in clause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maximum aggregate grant date fair value (determined in accordance with ASC 718) of Incentive Awards to be granted and other cash compensation paid to any non-employee director in any calendar year may not exceed $750,000, increased to $1,000,000 in the year in which such non-employee director initially joins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specifically provided in and modified by this Amendment, all of the terms and conditions of the Plan are hereby ratified and confirmed, and all references to the Plan shall be deemed to refer to the Plan as modified by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WITNESS WHEREOF, the Company has caused this Amendment to the Plan to be executed by its duly authorized officers this 8th day of June, 2026.</w:t>
      </w:r>
    </w:p>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75"/>
        <w:gridCol w:w="5660"/>
        <w:gridCol w:w="75"/>
      </w:tblGrid>
      <w:tr>
        <w:trPr/>
        <w:tc>
          <w:tcPr>
            <w:tcW w:w="7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CERVOMED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6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Elder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 William Elder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 Chief Financial Officer, General Counsel &amp;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11" w:name="ex_999623.htm"/>
      <w:bookmarkStart w:id="12" w:name="ksex_999623"/>
      <w:bookmarkStart w:id="13" w:name="ex_999623.htm"/>
      <w:bookmarkStart w:id="14" w:name="ksex_999623"/>
      <w:bookmarkEnd w:id="13"/>
      <w:bookmarkEnd w:id="14"/>
      <w:r>
        <w:br w:type="page"/>
      </w:r>
    </w:p>
    <w:tbl>
      <w:tblPr>
        <w:tblW w:w="3559" w:type="dxa"/>
        <w:jc w:val="left"/>
        <w:tblInd w:w="0" w:type="dxa"/>
        <w:tblLayout w:type="fixed"/>
        <w:tblCellMar>
          <w:top w:w="28" w:type="dxa"/>
          <w:left w:w="28" w:type="dxa"/>
          <w:bottom w:w="28" w:type="dxa"/>
          <w:right w:w="28" w:type="dxa"/>
        </w:tblCellMar>
      </w:tblPr>
      <w:tblGrid>
        <w:gridCol w:w="3405"/>
        <w:gridCol w:w="154"/>
      </w:tblGrid>
      <w:tr>
        <w:trPr/>
        <w:tc>
          <w:tcPr>
            <w:tcW w:w="355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5" w:type="dxa"/>
            <w:tcBorders/>
            <w:vAlign w:val="center"/>
          </w:tcPr>
          <w:p>
            <w:pPr>
              <w:pStyle w:val="TableContents"/>
              <w:bidi w:val="0"/>
              <w:spacing w:before="0" w:after="283"/>
              <w:jc w:val="left"/>
              <w:rPr>
                <w:b/>
              </w:rPr>
            </w:pPr>
            <w:r>
              <w:rPr>
                <w:b/>
              </w:rPr>
              <w:t xml:space="preserve">CervoMed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4"/>
        <w:gridCol w:w="1301"/>
        <w:gridCol w:w="1210"/>
        <w:gridCol w:w="1244"/>
        <w:gridCol w:w="1603"/>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4" w:type="dxa"/>
            <w:tcBorders/>
            <w:shd w:fill="E7E7E2" w:val="clear"/>
            <w:vAlign w:val="center"/>
          </w:tcPr>
          <w:p>
            <w:pPr>
              <w:pStyle w:val="TableContents"/>
              <w:bidi w:val="0"/>
              <w:spacing w:before="0" w:after="283"/>
              <w:jc w:val="left"/>
              <w:rPr/>
            </w:pPr>
            <w:r>
              <w:rPr/>
              <w:t xml:space="preserve">Common Stock, par value $0.001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2,000,000 </w:t>
            </w:r>
          </w:p>
        </w:tc>
        <w:tc>
          <w:tcPr>
            <w:tcW w:w="1244" w:type="dxa"/>
            <w:tcBorders/>
            <w:shd w:fill="E7E7E2" w:val="clear"/>
            <w:vAlign w:val="center"/>
          </w:tcPr>
          <w:p>
            <w:pPr>
              <w:pStyle w:val="TableContents"/>
              <w:bidi w:val="0"/>
              <w:spacing w:before="0" w:after="283"/>
              <w:jc w:val="right"/>
              <w:rPr/>
            </w:pPr>
            <w:r>
              <w:rPr/>
              <w:t xml:space="preserve">$ 2.73 </w:t>
            </w:r>
          </w:p>
        </w:tc>
        <w:tc>
          <w:tcPr>
            <w:tcW w:w="1603" w:type="dxa"/>
            <w:tcBorders/>
            <w:shd w:fill="E7E7E2" w:val="clear"/>
            <w:vAlign w:val="center"/>
          </w:tcPr>
          <w:p>
            <w:pPr>
              <w:pStyle w:val="TableContents"/>
              <w:bidi w:val="0"/>
              <w:spacing w:before="0" w:after="283"/>
              <w:jc w:val="right"/>
              <w:rPr/>
            </w:pPr>
            <w:r>
              <w:rPr/>
              <w:t xml:space="preserve">$ 5,460,000.00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$ 754.03 </w:t>
            </w:r>
          </w:p>
        </w:tc>
      </w:tr>
      <w:tr>
        <w:trPr/>
        <w:tc>
          <w:tcPr>
            <w:tcW w:w="4789"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5" w:name="MaxAggtOfferingPrice"/>
            <w:bookmarkEnd w:id="15"/>
            <w:r>
              <w:rPr/>
              <w:t xml:space="preserve">$ 5,460,000.00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$ 754.03 </w:t>
            </w:r>
          </w:p>
        </w:tc>
      </w:tr>
      <w:tr>
        <w:trPr/>
        <w:tc>
          <w:tcPr>
            <w:tcW w:w="4789"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789"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8" w:name="NetFeeAmt"/>
            <w:bookmarkEnd w:id="18"/>
            <w:r>
              <w:rPr/>
              <w:t xml:space="preserve">$ 754.03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In accordance with Rule 416 under the Securities Act of 1933, as amended (the "Securities Act"), this Registration Statement on Form S-8 shall be deemed to also cover any additional shares of common stock, par value $0.001 per share (the "Common Stock"), of CervoMed Inc. (the "Registrant") that becomes issuable with respect to the securities identified in the above table, by reason of any stock splits, stock dividend, reverse stock splits, recapitalizations, reclassifications, mergers, split-ups, reorganizations, consolidations and other similar transactions. (2) Represents 2,000,000 shares of Common Stock of the Registrant reserved and available for future issuance under the Registrant's 2025 Equity Incentive Plan, as amended by Amendment No. 1 to the 2025 Equity Incentive Plan (the "2025 Plan"). (3) This calculation is made solely for the purpose of calculating the registration fee pursuant to Rule 457(h) of the Securities Act. The offering price per share and the aggregate offering price are based on $2.73 per share, the average of the high and low prices of a share of Common Stock as reported on the Nasdaq Stock Market LLC on August 4, 2026.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053691/000143774926008259/crvo20251231_10k.htm" TargetMode="External"/><Relationship Id="rId3" Type="http://schemas.openxmlformats.org/officeDocument/2006/relationships/hyperlink" Target="http://www.sec.gov/ix?doc=/Archives/edgar/data/1053691/000143774926017236/crvo20260331c_10q.htm" TargetMode="External"/><Relationship Id="rId4" Type="http://schemas.openxmlformats.org/officeDocument/2006/relationships/hyperlink" Target="http://www.sec.gov/ix?doc=/Archives/edgar/data/0001053691/000143774926026592/crvo20260630_10q.htm" TargetMode="External"/><Relationship Id="rId5" Type="http://schemas.openxmlformats.org/officeDocument/2006/relationships/hyperlink" Target="http://www.sec.gov/ix?doc=/Archives/edgar/data/0001053691/000143774926004555/crvo20260218_8k.htm" TargetMode="External"/><Relationship Id="rId6" Type="http://schemas.openxmlformats.org/officeDocument/2006/relationships/hyperlink" Target="http://www.sec.gov/ix?doc=/Archives/edgar/data/0001053691/000143774926006911/crvo20260304_8k.htm" TargetMode="External"/><Relationship Id="rId7" Type="http://schemas.openxmlformats.org/officeDocument/2006/relationships/hyperlink" Target="http://www.sec.gov/ix?doc=/Archives/edgar/data/1053691/000143774926009081/crvo20260319_8k.htm" TargetMode="External"/><Relationship Id="rId8" Type="http://schemas.openxmlformats.org/officeDocument/2006/relationships/hyperlink" Target="http://www.sec.gov/ix?doc=/Archives/edgar/data/1053691/000143774926013037/crvo20260422_8k.htm" TargetMode="External"/><Relationship Id="rId9" Type="http://schemas.openxmlformats.org/officeDocument/2006/relationships/hyperlink" Target="http://www.sec.gov/ix?doc=/Archives/edgar/data/1053691/000143774926019909/crvo20260609_8k.htm" TargetMode="External"/><Relationship Id="rId10" Type="http://schemas.openxmlformats.org/officeDocument/2006/relationships/hyperlink" Target="http://www.sec.gov/ix?doc=/Archives/edgar/data/1053691/000143774926020080/crvo20260610_8k.htm" TargetMode="External"/><Relationship Id="rId11" Type="http://schemas.openxmlformats.org/officeDocument/2006/relationships/hyperlink" Target="http://www.sec.gov/ix?doc=/Archives/edgar/data/1053691/000143774926021038/crvo20260618c_8k.htm" TargetMode="External"/><Relationship Id="rId12" Type="http://schemas.openxmlformats.org/officeDocument/2006/relationships/hyperlink" Target="http://www.sec.gov/ix?doc=/Archives/edgar/data/1053691/000143774926021208/crvo20260618_8k.htm" TargetMode="External"/><Relationship Id="rId13" Type="http://schemas.openxmlformats.org/officeDocument/2006/relationships/hyperlink" Target="http://www.sec.gov/ix?doc=/Archives/edgar/data/1053691/000143774926021309/crvo20260622_8k.htm" TargetMode="External"/><Relationship Id="rId14" Type="http://schemas.openxmlformats.org/officeDocument/2006/relationships/hyperlink" Target="http://www.sec.gov/ix?doc=/Archives/edgar/data/1053691/000143774926023200/crvo20260709_8k.htm" TargetMode="External"/><Relationship Id="rId15" Type="http://schemas.openxmlformats.org/officeDocument/2006/relationships/hyperlink" Target="http://www.sec.gov/ix?doc=/Archives/edgar/data/1053691/000143774926023538/crvo20260714_8k.htm" TargetMode="External"/><Relationship Id="rId16" Type="http://schemas.openxmlformats.org/officeDocument/2006/relationships/hyperlink" Target="http://www.sec.gov/ix?doc=/Archives/edgar/data/1053691/000143774926025509/crvo20260803_8k.htm" TargetMode="External"/><Relationship Id="rId17" Type="http://schemas.openxmlformats.org/officeDocument/2006/relationships/hyperlink" Target="http://www.sec.gov/Archives/edgar/data/1053691/000143774924010064/ex_643086.htm" TargetMode="External"/><Relationship Id="rId18" Type="http://schemas.openxmlformats.org/officeDocument/2006/relationships/hyperlink" Target="http://www.sec.gov/Archives/edgar/data/1053691/000143774923007795/ex_488532.htm" TargetMode="External"/><Relationship Id="rId19" Type="http://schemas.openxmlformats.org/officeDocument/2006/relationships/hyperlink" Target="http://www.sec.gov/Archives/edgar/data/1053691/000143774923024064/ex_561998.htm" TargetMode="External"/><Relationship Id="rId20" Type="http://schemas.openxmlformats.org/officeDocument/2006/relationships/hyperlink" Target="http://www.sec.gov/Archives/edgar/data/1053691/000143774923024064/ex_561999.htm" TargetMode="External"/><Relationship Id="rId21" Type="http://schemas.openxmlformats.org/officeDocument/2006/relationships/hyperlink" Target="http://www.sec.gov/Archives/edgar/data/1053691/000143774923024064/ex_562000.htm" TargetMode="External"/><Relationship Id="rId22" Type="http://schemas.openxmlformats.org/officeDocument/2006/relationships/hyperlink" Target="http://www.sec.gov/Archives/edgar/data/1053691/000143774925025570/ex_850097.htm" TargetMode="External"/><Relationship Id="rId23" Type="http://schemas.openxmlformats.org/officeDocument/2006/relationships/hyperlink" Target="http://www.sec.gov/Archives/edgar/data/1053691/000143774925033879/ex_884815.htm" TargetMode="External"/><Relationship Id="rId24" Type="http://schemas.openxmlformats.org/officeDocument/2006/relationships/image" Target="media/image1.jpeg"/><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4174</Words>
  <Characters>22109</Characters>
  <CharactersWithSpaces>26422</CharactersWithSpaces>
  <Paragraphs>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