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rvo20260702_s3.htm"/>
      <w:bookmarkStart w:id="1" w:name="kscrvo20260702_s3"/>
      <w:bookmarkEnd w:id="0"/>
      <w:bookmarkEnd w:id="1"/>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As filed with the Securities and Exchange Commission on July 6, 2026.</w:t>
      </w:r>
      <w:r>
        <w:rPr>
          <w:rFonts w:ascii="Times New Roman" w:hAnsi="Times New Roman"/>
          <w:caps w:val="false"/>
          <w:smallCaps w:val="false"/>
          <w:sz w:val="20"/>
        </w:rPr>
        <w:t xml:space="preserve"> </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b/>
          <w:caps w:val="false"/>
          <w:smallCaps w:val="false"/>
          <w:sz w:val="20"/>
        </w:rPr>
        <w:t>Registration No.</w:t>
      </w:r>
      <w:r>
        <w:rPr>
          <w:rFonts w:ascii="Times New Roman" w:hAnsi="Times New Roman"/>
          <w:caps w:val="false"/>
          <w:smallCaps w:val="false"/>
          <w:sz w:val="20"/>
        </w:rPr>
        <w:t> </w:t>
      </w:r>
      <w:r>
        <w:rPr>
          <w:rFonts w:ascii="Times New Roman" w:hAnsi="Times New Roman"/>
          <w:b/>
          <w:caps w:val="false"/>
          <w:smallCaps w:val="false"/>
          <w:sz w:val="20"/>
        </w:rPr>
        <w:t>333-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99" w:type="dxa"/>
        <w:jc w:val="left"/>
        <w:tblInd w:w="0" w:type="dxa"/>
        <w:tblLayout w:type="fixed"/>
        <w:tblCellMar>
          <w:top w:w="0" w:type="dxa"/>
          <w:left w:w="0" w:type="dxa"/>
          <w:bottom w:w="0" w:type="dxa"/>
          <w:right w:w="0" w:type="dxa"/>
        </w:tblCellMar>
      </w:tblPr>
      <w:tblGrid>
        <w:gridCol w:w="3502"/>
        <w:gridCol w:w="4197"/>
      </w:tblGrid>
      <w:tr>
        <w:trPr/>
        <w:tc>
          <w:tcPr>
            <w:tcW w:w="769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S-3</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 UNDER THE SECURITIES ACT OF 1933</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drawing>
                <wp:inline distT="0" distB="0" distL="0" distR="0">
                  <wp:extent cx="2000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52387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CERVOMED INC.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350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 or Organization)</w:t>
            </w:r>
          </w:p>
        </w:tc>
        <w:tc>
          <w:tcPr>
            <w:tcW w:w="4197"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Number)</w:t>
            </w:r>
          </w:p>
        </w:tc>
      </w:tr>
      <w:tr>
        <w:trPr/>
        <w:tc>
          <w:tcPr>
            <w:tcW w:w="769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 Park Plaza</w:t>
            </w:r>
            <w:r>
              <w:rPr>
                <w:rFonts w:ascii="Times New Roman" w:hAnsi="Times New Roman"/>
                <w:caps w:val="false"/>
                <w:smallCaps w:val="false"/>
                <w:sz w:val="20"/>
              </w:rPr>
              <w:t> </w:t>
              <w:br/>
            </w:r>
            <w:r>
              <w:rPr>
                <w:rFonts w:ascii="Times New Roman" w:hAnsi="Times New Roman"/>
                <w:b/>
                <w:caps w:val="false"/>
                <w:smallCaps w:val="false"/>
                <w:sz w:val="20"/>
              </w:rPr>
              <w:t>Suite 424</w:t>
            </w:r>
            <w:r>
              <w:rPr>
                <w:rFonts w:ascii="Times New Roman" w:hAnsi="Times New Roman"/>
                <w:caps w:val="false"/>
                <w:smallCaps w:val="false"/>
                <w:sz w:val="20"/>
              </w:rPr>
              <w:t> </w:t>
              <w:br/>
            </w:r>
            <w:r>
              <w:rPr>
                <w:rFonts w:ascii="Times New Roman" w:hAnsi="Times New Roman"/>
                <w:b/>
                <w:caps w:val="false"/>
                <w:smallCaps w:val="false"/>
                <w:sz w:val="20"/>
              </w:rPr>
              <w:t>Boston, Massachusetts</w:t>
            </w:r>
            <w:r>
              <w:rPr>
                <w:rFonts w:ascii="Times New Roman" w:hAnsi="Times New Roman"/>
                <w:caps w:val="false"/>
                <w:smallCaps w:val="false"/>
                <w:sz w:val="20"/>
              </w:rPr>
              <w:t> </w:t>
            </w:r>
            <w:r>
              <w:rPr>
                <w:rFonts w:ascii="Times New Roman" w:hAnsi="Times New Roman"/>
                <w:b/>
                <w:caps w:val="false"/>
                <w:smallCaps w:val="false"/>
                <w:sz w:val="20"/>
              </w:rPr>
              <w:t>02216</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(617) 744-4400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w:t>
              <w:br/>
              <w:t>of Registrant’s Principal Executive Offices)</w:t>
            </w:r>
          </w:p>
        </w:tc>
      </w:tr>
      <w:tr>
        <w:trPr/>
        <w:tc>
          <w:tcPr>
            <w:tcW w:w="769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Alam M.D.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President and Chief Executive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 Park Plaza</w:t>
            </w:r>
            <w:r>
              <w:rPr>
                <w:rFonts w:ascii="Times New Roman" w:hAnsi="Times New Roman"/>
                <w:caps w:val="false"/>
                <w:smallCaps w:val="false"/>
                <w:sz w:val="20"/>
              </w:rPr>
              <w:t> </w:t>
              <w:br/>
            </w:r>
            <w:r>
              <w:rPr>
                <w:rFonts w:ascii="Times New Roman" w:hAnsi="Times New Roman"/>
                <w:b/>
                <w:caps w:val="false"/>
                <w:smallCaps w:val="false"/>
                <w:sz w:val="20"/>
              </w:rPr>
              <w:t>Suite 424</w:t>
            </w:r>
            <w:r>
              <w:rPr>
                <w:rFonts w:ascii="Times New Roman" w:hAnsi="Times New Roman"/>
                <w:caps w:val="false"/>
                <w:smallCaps w:val="false"/>
                <w:sz w:val="20"/>
              </w:rPr>
              <w:t> </w:t>
              <w:br/>
            </w:r>
            <w:r>
              <w:rPr>
                <w:rFonts w:ascii="Times New Roman" w:hAnsi="Times New Roman"/>
                <w:b/>
                <w:caps w:val="false"/>
                <w:smallCaps w:val="false"/>
                <w:sz w:val="20"/>
              </w:rPr>
              <w:t>Boston, Massachusetts</w:t>
            </w:r>
            <w:r>
              <w:rPr>
                <w:rFonts w:ascii="Times New Roman" w:hAnsi="Times New Roman"/>
                <w:caps w:val="false"/>
                <w:smallCaps w:val="false"/>
                <w:sz w:val="20"/>
              </w:rPr>
              <w:t> </w:t>
            </w:r>
            <w:r>
              <w:rPr>
                <w:rFonts w:ascii="Times New Roman" w:hAnsi="Times New Roman"/>
                <w:b/>
                <w:caps w:val="false"/>
                <w:smallCaps w:val="false"/>
                <w:sz w:val="20"/>
              </w:rPr>
              <w:t>02216</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(617) 744-4400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Address, Including Zip Code, and Telephone Number, Including Area Code,</w:t>
              <w:br/>
              <w:t>of Agent for Service)</w:t>
            </w:r>
          </w:p>
          <w:p>
            <w:pPr>
              <w:pStyle w:val="TableContents"/>
              <w:bidi w:val="0"/>
              <w:spacing w:before="0" w:after="0"/>
              <w:ind w:left="0" w:right="0" w:hanging="0"/>
              <w:jc w:val="center"/>
              <w:rPr>
                <w:caps w:val="false"/>
                <w:smallCaps w:val="false"/>
              </w:rPr>
            </w:pPr>
            <w:r>
              <w:rPr>
                <w:caps w:val="false"/>
                <w:smallCaps w:val="false"/>
              </w:rPr>
              <w:t> </w:t>
            </w:r>
          </w:p>
        </w:tc>
      </w:tr>
      <w:tr>
        <w:trPr/>
        <w:tc>
          <w:tcPr>
            <w:tcW w:w="769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Copies to:</w:t>
            </w:r>
          </w:p>
        </w:tc>
      </w:tr>
      <w:tr>
        <w:trPr/>
        <w:tc>
          <w:tcPr>
            <w:tcW w:w="769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William C. Hicks, Esq.</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Jason S. McCaffrey, Esq.</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Mintz, Levin, Cohn, Ferris, Glovsky &amp; Popeo, P.C.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One Financial Center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 02111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(617) 542-6000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b/>
          <w:caps w:val="false"/>
          <w:smallCaps w:val="false"/>
          <w:sz w:val="20"/>
        </w:rPr>
        <w:t>Approximate date of commencement of proposed sale to the public</w:t>
      </w:r>
      <w:r>
        <w:rPr>
          <w:rFonts w:ascii="Times New Roman" w:hAnsi="Times New Roman"/>
          <w:caps w:val="false"/>
          <w:smallCaps w:val="false"/>
          <w:sz w:val="20"/>
        </w:rPr>
        <w:t>: 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25"/>
        <w:gridCol w:w="60"/>
        <w:gridCol w:w="230"/>
        <w:gridCol w:w="60"/>
        <w:gridCol w:w="2225"/>
        <w:gridCol w:w="60"/>
        <w:gridCol w:w="230"/>
      </w:tblGrid>
      <w:tr>
        <w:trPr/>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r>
        <w:rPr>
          <w:rFonts w:ascii="Times New Roman" w:hAnsi="Times New Roman"/>
          <w:caps w:val="false"/>
          <w:smallCaps w:val="false"/>
          <w:sz w:val="20"/>
        </w:rPr>
        <w:t> </w:t>
      </w:r>
      <w:r>
        <w:rPr>
          <w:rFonts w:ascii="Times New Roman" w:hAnsi="Times New Roman"/>
          <w:b/>
          <w:caps w:val="false"/>
          <w:smallCaps w:val="false"/>
          <w:sz w:val="20"/>
        </w:rPr>
        <w:t>8(a) of the Securities Act of 1933, as amended, or until this registration statement shall become effective on such date as the Commission, acting pursuant to such Section</w:t>
      </w:r>
      <w:r>
        <w:rPr>
          <w:rFonts w:ascii="Times New Roman" w:hAnsi="Times New Roman"/>
          <w:caps w:val="false"/>
          <w:smallCaps w:val="false"/>
          <w:sz w:val="20"/>
        </w:rPr>
        <w:t> </w:t>
      </w:r>
      <w:r>
        <w:rPr>
          <w:rFonts w:ascii="Times New Roman" w:hAnsi="Times New Roman"/>
          <w:b/>
          <w:caps w:val="false"/>
          <w:smallCaps w:val="false"/>
          <w:sz w:val="20"/>
        </w:rPr>
        <w:t>8(a), may determine.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color w:val="FF0000"/>
          <w:sz w:val="20"/>
        </w:rPr>
        <w:t>SUBJECT TO COMPLETION, DATED JULY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PROSPECTUS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00025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523875"/>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10,081,131 Shares of Common Stock</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relates to the offer and resale from time to time by the selling stockholders identified in this prospectus or their donees, pledgees, assigns, transferees, distributees or other successors-in-interest (the “selling stockholders”) of up to an aggregate of 10,081,131 shares of our common stock, par value $0.001 per share (“common stock”), issued by us in a private placement on June 11, 2026 (the “Private Placement”), consisting of (i) 1,767,514 shares of common stock, (ii) 1,592,863 shares of common stock issuable upon the exercise of our pre-funded warrants (the “Pre-Funded Warrants”), (iii) 3,360,377 shares of common stock issuable upon the exercise of outstanding Series B warrants (the “Series B Warrants”), and (iv) 3,360,377 shares of common stock issuable upon the exercise of outstanding Series C warrants (the “Series C Warrants,” and collectively with the Pre-Funded Warrants and Series B Warrants,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selling any shares of common stock under this prospectus and will not receive any proceeds from the sale by the selling stockholders of such shares. We will, however, receive the net proceeds of any Warrants exercised for cash. We are paying the cost of registering the shares of common stock covered by this prospectus as well as various related expenses. The selling stockholders are responsible for any underwriting discounts and selling commissions and/or similar charges incurred in connection with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the shares by the selling stockholders may occur at fixed prices, at market prices prevailing at the time of sale, at prices related to prevailing market prices, at negotiated prices and/or at varying prices determined at the time of sale. The selling stockholders may sell shares directly or to or through underwriters, broker-dealers or agents, who may receive compensation in the form of discounts, concessions or commissions from the selling stockholders, the purchasers of the shares, or both. The selling stockholders may sell any, all or none of the securities offered by this prospectus, and we do not know when or in what amount the selling stockholders may sell their shares of common stock hereunder following the effective date of the registration statement of which this prospectus forms a part. We provide more information about how the selling stockholders may sell or otherwise dispose of their shares of Common Stock in the section titled “Plan of Distribution” on page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“CRVO.” On July 2, 2026, the last reported sale price of our common stock was $3.55.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Investing in our securities involves risks. See</w:t>
      </w:r>
      <w:r>
        <w:rPr>
          <w:rFonts w:ascii="Times New Roman" w:hAnsi="Times New Roman"/>
          <w:caps w:val="false"/>
          <w:smallCaps w:val="false"/>
          <w:sz w:val="20"/>
        </w:rPr>
        <w:t> “</w:t>
      </w:r>
      <w:r>
        <w:rPr>
          <w:rFonts w:ascii="Times New Roman" w:hAnsi="Times New Roman"/>
          <w:b/>
          <w:caps w:val="false"/>
          <w:smallCaps w:val="false"/>
          <w:sz w:val="20"/>
        </w:rPr>
        <w:t>Risk Factors</w:t>
      </w:r>
      <w:r>
        <w:rPr>
          <w:rFonts w:ascii="Times New Roman" w:hAnsi="Times New Roman"/>
          <w:caps w:val="false"/>
          <w:smallCaps w:val="false"/>
          <w:sz w:val="20"/>
        </w:rPr>
        <w:t>” </w:t>
      </w:r>
      <w:r>
        <w:rPr>
          <w:rFonts w:ascii="Times New Roman" w:hAnsi="Times New Roman"/>
          <w:b/>
          <w:caps w:val="false"/>
          <w:smallCaps w:val="false"/>
          <w:sz w:val="20"/>
        </w:rPr>
        <w:t>beginning on page 9 of this prospectus for a discussion of the factors you should carefully consider before deciding to purchase these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750"/>
        <w:gridCol w:w="230"/>
      </w:tblGrid>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THIS PROSPECTUS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PROSPECTUS SUMMARY</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OFFERING</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 NOTE REGARDING FORWARD-LOOKING STATEMENTS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STOCKHOLDERS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MATTERS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EXPERTS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YOU CAN FIND MORE INFORMATION</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INCORPORATED BY REFERENCE</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ABOUT THIS PROSPECTUS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on Form S-3 that we filed with the Securities and Exchange Commission (the “SEC”), using a “shelf” registration process. Under this registration statement, the selling stockholders may sell, from time to time in one or more offerings, the common stock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all references in this prospectus to “we,” “us,” “our,” “CervoMed,” the “Company” and similar designations refer to CervoMed Inc. This prospectus contains references to trademarks belonging to other entities. Solely for convenience, trademarks and trade names referred to in this prospectus, including logos, artwork and other visual displays,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PROSPECTUS SUMMARY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summary highlights certain information about us, this offering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information incorporated by reference from our most recent Annual Report on Form 10-K and any subsequent Quarterly Reports on Form 10-Q or Current Reports on Form 8-K, before making an investment decision.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clinical-stage biotechnology company developing treatments for age-related brain disorders. Our lead drug candidate, neflamapimod, is an investigational, orally administered small-molecule drug that readily crosses the blood–brain barrier and selectively inhibits the enzyme p38α,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dementia with Lewy Bodies (“DLB”), our lead indication, as well as non-fluent variant primary progressive aphasia, recovery after stroke, and amyotrophic lateral sclerosis.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novel approach focuses on reducing the impact of neuroinflammation, which we believe is a key factor in the manifestation of degenerative diseases of the brain. Chronic activation of p38α in the brains of people with certain neurodegenerative diseases is believed to impair how neurons communicate through synapses. This synaptic dysfunction leads to deterioration of cognitive and motor abilities. Left untreated, synaptic dysfunction can result in irreversible neuronal loss that leads to devastating disabilities, significant reliance on a caretaker, long term care living, and, ultimately, death. However, before neuronal loss commences, disease progression in many major neurodegenerative disorders, including DLB, initially involves a protracted period of reversible functional loss, particularly with respect to the synapses. We believe that inhibiting p38α activity in the brain has the potential to reverse the clinical progression observed in the early-stages of certain neurodegenerative diseases, as well as slow further progression by delaying permanent synaptic dysfunction and neuron death, by interfering with key pathogenic drivers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we are a leader in the industry in developing a treatment for DLB, a disease with no approved therapies in the US or European Union despite being the second most common progressive dementia. Neflamapimod is the only clinical drug candidate that, to our knowledge, has shown statistically significant improvements on clinical endpoints and a biomarker of neurodegeneration in both a Phase 2a and Phase 2b clinical trial. Differentiating our approach from potential competitors, we believe we are also the only company specifically targeting the treatment of DLB patients without Alzheimer’s Disease (“AD”) co-pathology. While DLB patients with AD co-pathology generally have significant, irreversible neuronal loss, DLB without AD co-pathology is primarily a disease of functional deficits of synapses that we believe is more treatable. We believe if neflamapimod is given in the early stages of certain degenerative diseases of the brain like DLB without AD co-pathology, it may reverse synaptic dysfunction, improve neuron health and function, and slow further progression by delaying synaptic dysfunction and neuronal death. We believe this approach enhances the alignment of our development path with neflamapimod’s mechanism of action, reduces the heterogeneity of our target patient population, and provides the opportunity to demonstrate heightened clinical effect in shorter duration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Developments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Registered Direct Offering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18, 2026, we entered into securities purchase agreement with certain investors, pursuant to which we agreed to issue and sell, in a registered direct offering by directly to the investors (the “Registered Offering”), 2,500,000 shares of common stock at a purchase price of $4.00 per share, for aggregate gross proceeds of $10.0 million, before deducting placement agent fees and related offering expenses. The Registered Offering closed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H.C. Wainwright &amp; Co., LLC (“Wainwright”) acted as the exclusive placement agent for the Registered Offering pursuant to an engagement letter between the Company and Wainwright dated June 16, 2026 (the “HCW Engagement Letter”). Pursuant to the HCW Engagement Letter, we also issued to Wainwright or its designees warrants to purchase 150,000 shares of common stock (the “Placement Agent Warrants”). The Placement Agent Warrants have an exercise price of $5.00 per share (or $4.999 per pre-funded warrant if elected), are immediately exercisable and expire 5 years following the commencement of sales of the Registered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Notice of Allowance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2026, we received a notice of allowance from the United States Patent and Trademark Office related to a new patent protecting the Company’s use of neflamapimod for the treatment of DLB in patients with no substantial AD-like tau pathology, which is expected to provide intellectual property protection into 2042 (without giving effect to any potential patent term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Private Placement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9, 2026, we entered into a securities purchase agreement (the “Purchase Agreement”) with certain accredited investors named therein, pursuant to which we agreed to issue and sell, in the Private Placement, an aggregate of 3,360,377 units (the “Units”), each Unit comprised of (i) (A) one share of common stock, or (B) one Pre-Funded Warrant, and, in each case, (ii) one Series B Warrant, and (iii) one Series C Warrant, at an offering price of $3.14 per Unit. The Private Placement closed on June 11, 2026, and we received approximately $10.5 million in aggregate gross proceeds therefrom, before deducting placement agent fees and expenses and related offering expenses. Joshua Boger, Ph.D., our Chair of the Board of Directors, and trusts related to John Alam, M.D., our Chief Executive Officer and a Director of the Company, and Sylvie Grégoire, PharmD, a Director of the Company, participated in the Private Placement for an aggregate of 1,369,426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Pre-Funded Warrants are exercisable for one share of common stock at a price per share of $0.001, are immediately exercisable and expire when exercised in full. The Series B Warrants are exercisable for one share of common stock at a price per share of $3.32 (or, if elected, $3.319 per pre-funded warrant), are exercisable immediately and expire five years from the date of issuance. The Series C Warrants are exercisable for one share of common stock at a price per share of $3.14 (or, if elected, $3.139 per pre-funded warrant), are exercisable immediately and expire 12-months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Corporation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Delaware corporation that was incorporated in June 2015 and previously was named “Diffusion Pharmaceuticals Inc.” Prior to June 2015, we were a Nevada corporation. On August 16, 2023, we completed a merger transaction with EIP Pharma, Inc., a Delaware corporation, and changed our name to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our principal executive offices at 20 Park Plaza, Suite 424, Boston, Massachusetts 02216.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telephone number there is (617) 744-4400. The address of our website is www.cervomed.com.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OFFERING</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60"/>
        <w:gridCol w:w="8782"/>
      </w:tblGrid>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offered by the selling stockholders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 to an aggregate of 10,081,131 shares of our common stock, consisting of (i) 1,767,514 shares of common stock, (ii) 1,592,863 shares of common stock issuable upon the exercise of outstanding Pre-Funded Warrants, (iii) 3,360,377 shares of common stock issuable upon the exercise of outstanding Series B Warrants, and (iv) 3,360,377 shares of common stock issuable upon the exercise of outstanding Series C Warrants.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the offering</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selling stockholders will determine when and how they will sell the Common Stock offered in this prospectus, as described in “Plan of Distribution.”</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not receive any proceeds from the sale of shares of our common stock by the selling stockholders. Each Pre-Funded Warrant has an exercise price equal to $0.001 per share, and if all Pre-Funded Warrants are exercised for cash (and not a cashless a basis), we will receive proceeds of approximately $1,593. Each Series B Warrant has an exercise price equal to $3.32 per share, and if all Series B Warrants are exercised for cash (and not a cashless a basis), we will receive proceeds of approximately $11.2 million. Each Series C Warrant has an exercise price equal to $3.14 per share, and if all Series B Warrants are exercised for cash (and not a cashless a basis), we will receive proceeds of approximately $10.6 million. Any proceeds we receive from the exercise of the Warrants will be used for working capital and general corporate purposes.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investment in our securities involves a high degree of risk. See the section entitled “Risk Factors” of this prospectus and the similarly titled sections in the documents incorporated by reference into this prospectus.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Capital Market Symbol</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CRVO</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Shares of common stock that may be offered under this prospectus will be fully paid and non-assessable. We will not receive any of the proceeds of sales by the selling stockholders of any of the common stock covered by this prospectus. Throughout this prospectus, when we refer to the shares of our common stock being registered on behalf of the selling stockholders for offer and resale, we are referring to the shares of common stock issued to the selling stockholders in the Private Placement as well as in connection with the exercise of Warrants issued in the Private Placement. When we refer to the selling stockholders in this prospectus, we are referring to the selling stockholders identified in this prospectus and, as applicable, their donees, pledgees, assigns, transferees, distributees or other successors-in-interest that may be identified in a supplement to this prospectus or, if required, a post-effective amendment to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RISK FACTORS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sale of a substantial amount of our common stock, including resale of the common stock issuable upon the exercise of the Warrants held by the selling stockholders, in the public market, could adversely affect the prevailing market price of our common stock.</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registering for resale 10,081,131 shares of common stock held by the selling stockholders, including shares issuable upon the exercise of Warrants held by the selling stockholders. Sales of substantial amounts of our common stock in the public market, or the perception that such sales may occur, could adversely affect the market price of our common stock. We cannot predict if and when selling stockholders may sell such shares in the public markets. Furthermore, in the future, we may issue additional shares of common stock. Any such issuance could result in substantial dilution to our existing stockholders and could cause our stock price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SPECIAL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in this prospectus supplement include forward-looking statements within the meaning of Section 27A of the Securities Act of 1933, as amended, or the Securities Act, and Section 21E of the Securities Exchange Act of 1934, as amended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Forward-looking statements also include statements regarding our intentions, beliefs, projections, outlook, analyses or expectations concerning,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balances, our ability to obtain additional financing in the future on acceptable terms or at all, and our ability to continue as a going concern;</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enter into a partnership to advance neflamapimod into Phase 3 for DLB in a timely manner, on acceptable terms, or at all;</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and timing of our ongoing and planned clinical trials and nonclinical studies, including our ability to enroll participants in our studies at anticipated rates, our ability to manufacture an adequate amount of drug supply for our studies, and changes to our drug candidates' formulations;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obtaining and maintaining intellectual property protection for our current or future product candidates and our proprietary technology;</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of third parties, including contract research organizations, contract development and manufacturing organizations, manufacturers, suppliers, and outside consultants, to whom we outsource certain operations, staff and other functions;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and maintain regulatory approval of our current or future product candidates and, if approved, our products, including the labeling under any approval we may obtain;</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plans and ability to develop and commercialize our current or future product candidates and the outcomes of our research and development activities;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estimates regarding expenses, future revenues, capital requirements, and needs for additional financing;</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obligations under the license agreement with Vertex Pharmaceuticals Incorporated;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failure to recruit or retain key scientific or management personnel or to retain our executive officers;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products that are, or may become, available which also target the potential markets for our current or future product candidates;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operate our business without infringing the intellectual property rights of others and the potential for others to infringe upon our intellectual property rights;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significant breakdown, infiltration, or interruption of our information technology systems and infrastructure;</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recently enacted and future legislation related to the healthcare system;</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regulatory developments in the US, European Union, and other foreign jurisdictions;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satisfy the continued listing requirements of the Nasdaq or any other exchange on which our securities may trade in the future;</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related to general economic, political, business, industry, and market conditions; and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risks and uncertainties, including those discussed under the heading “Risk Factors” herein and in our other public filings.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USE OF PROCEEDS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not receive any of the proceeds from the sale or other disposition of shares of our common stock beneficially owned by the selling stockholders pursuant to this prospectus. Upon any exercise of the Warrants for cash, the applicable selling stockholder would pay us the exercise price set forth in the applicable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Pre-Funded Warrant has an exercise price equal to $0.001 per share, and if all Pre-Funded Warrants are exercised for cash (and not a cashless a basis), we will receive proceeds of approximately $1,593. Each Series B Warrant has an exercise price equal to $3.32 per share, and if all Series B Warrants are exercised for cash (and not a cashless a basis), we will receive proceeds of approximately $11.2 million. Each Series C Warrant has an exercise price equal to $3.14 per share, and if all Series B Warrants are exercised for cash (and not a cashless a basis), we will receive proceeds of approximately $10.6 million. We expect to use any such proceeds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SELLING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covers the possible resale from time to time by the selling stockholders identified in the table below of common stock, including common stock issuable upon the exercise of the Pre-Funded Warrants, Series B Warrants and Series C Warrants, issued in the Private Placement. The selling stockholders may sell some, all or none of their common stock. We do not know how long the selling stockholders will hold the Warrants, whether any will exercise the Warrants, and upon such exercise, how long such selling stockholders will hold the common stock before selling them, and we currently have no agreements, arrangements or understandings with the selling stockholders regarding the sale of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lists the selling stockholders and other information regarding the beneficial ownership of the common stock by each of the selling stockholders. The second column lists the number of shares of common stock beneficially owned by each selling stockholder, based on its ownership of common stock and warrants to purchase common stock, as of June 22, 2026, assuming exercise of the Warrants held by the selling stockholders on that date, without regard to any limitations on conversions or exercises. The third column lists the maximum number of shares of common stock being offered in this prospectus by the selling stockholders. The fourth and fifth columns list the number of shares of common stock owned after the offering, by number of shares of common stock and percentage of outstanding shares of common stock, assuming in both cases the sale of all of the shares of common stock offered by the selling stockholders pursuant to this prospectus, and without regard to any limitations on conversions or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9.99% or 19.99%, as applicable, of our then outstanding shares of Common Stock following such exercise, excluding for purposes of such determination shares of common stock issuable upon exercise of such warrants which have not been exercised. The beneficial ownership limitation may be increased or decreased, provided that in no event shall it exceed 9.99% or 19.99%, as applicable, upon notice to us, provided that any increase in the beneficial ownership limitation shall not be effective until 61 days following the receipt of such notice by us. The number of shares in the table below does not reflect this limitation. See “</w:t>
      </w:r>
      <w:r>
        <w:rPr>
          <w:rFonts w:ascii="Times New Roman" w:hAnsi="Times New Roman"/>
          <w:i/>
          <w:caps w:val="false"/>
          <w:smallCaps w:val="false"/>
          <w:sz w:val="20"/>
        </w:rPr>
        <w:t>Plan of Distribution</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20"/>
        <w:gridCol w:w="23"/>
        <w:gridCol w:w="67"/>
        <w:gridCol w:w="2487"/>
        <w:gridCol w:w="23"/>
        <w:gridCol w:w="23"/>
        <w:gridCol w:w="40"/>
        <w:gridCol w:w="1489"/>
        <w:gridCol w:w="23"/>
        <w:gridCol w:w="23"/>
        <w:gridCol w:w="49"/>
        <w:gridCol w:w="1841"/>
        <w:gridCol w:w="60"/>
        <w:gridCol w:w="60"/>
        <w:gridCol w:w="394"/>
        <w:gridCol w:w="1819"/>
        <w:gridCol w:w="64"/>
      </w:tblGrid>
      <w:tr>
        <w:trPr/>
        <w:tc>
          <w:tcPr>
            <w:tcW w:w="1720" w:type="dxa"/>
            <w:tcBorders>
              <w:bottom w:val="single" w:sz="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Selling Stockholder</w:t>
            </w:r>
          </w:p>
        </w:tc>
        <w:tc>
          <w:tcPr>
            <w:tcW w:w="23" w:type="dxa"/>
            <w:tcBorders/>
            <w:tcMar>
              <w:bottom w:w="0" w:type="dxa"/>
            </w:tcMar>
            <w:vAlign w:val="center"/>
          </w:tcPr>
          <w:p>
            <w:pPr>
              <w:pStyle w:val="TableContents"/>
              <w:bidi w:val="0"/>
              <w:spacing w:before="0" w:after="0"/>
              <w:ind w:left="0" w:right="0" w:hanging="0"/>
              <w:jc w:val="left"/>
              <w:rPr/>
            </w:pPr>
            <w:r>
              <w:rPr/>
              <w:t>​</w:t>
            </w:r>
          </w:p>
        </w:tc>
        <w:tc>
          <w:tcPr>
            <w:tcW w:w="255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 Shares of Common Stock Owned Prior to Offering**</w:t>
            </w:r>
          </w:p>
        </w:tc>
        <w:tc>
          <w:tcPr>
            <w:tcW w:w="23"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52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Maximum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bidi w:val="0"/>
              <w:spacing w:before="0" w:after="0"/>
              <w:ind w:left="0" w:right="0" w:hanging="0"/>
              <w:jc w:val="center"/>
              <w:rPr/>
            </w:pPr>
            <w:r>
              <w:rPr/>
              <w:t> </w:t>
            </w:r>
            <w:r>
              <w:rPr>
                <w:rFonts w:ascii="Times New Roman" w:hAnsi="Times New Roman"/>
                <w:b/>
                <w:sz w:val="20"/>
              </w:rPr>
              <w:t>Shares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to be Sold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Pursuant to this Prospectus**</w:t>
            </w:r>
          </w:p>
        </w:tc>
        <w:tc>
          <w:tcPr>
            <w:tcW w:w="23"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8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Owned After Offering**(1)</w:t>
            </w:r>
          </w:p>
        </w:tc>
        <w:tc>
          <w:tcPr>
            <w:tcW w:w="60" w:type="dxa"/>
            <w:tcBorders/>
            <w:tcMar>
              <w:bottom w:w="0" w:type="dxa"/>
            </w:tcMar>
            <w:vAlign w:val="center"/>
          </w:tcPr>
          <w:p>
            <w:pPr>
              <w:pStyle w:val="TableContents"/>
              <w:bidi w:val="0"/>
              <w:spacing w:before="0" w:after="0"/>
              <w:ind w:left="0" w:right="0" w:hanging="0"/>
              <w:jc w:val="left"/>
              <w:rPr/>
            </w:pPr>
            <w:r>
              <w:rPr/>
              <w:t>​</w:t>
            </w:r>
          </w:p>
        </w:tc>
        <w:tc>
          <w:tcPr>
            <w:tcW w:w="60" w:type="dxa"/>
            <w:tcBorders/>
            <w:tcMar>
              <w:bottom w:w="0" w:type="dxa"/>
            </w:tcMar>
            <w:vAlign w:val="center"/>
          </w:tcPr>
          <w:p>
            <w:pPr>
              <w:pStyle w:val="TableContents"/>
              <w:bidi w:val="0"/>
              <w:spacing w:before="0" w:after="0"/>
              <w:ind w:left="0" w:right="0" w:hanging="0"/>
              <w:jc w:val="left"/>
              <w:rPr/>
            </w:pPr>
            <w:r>
              <w:rPr/>
              <w:t>​</w:t>
            </w:r>
          </w:p>
        </w:tc>
        <w:tc>
          <w:tcPr>
            <w:tcW w:w="221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Percentage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 of Common Stock Owned After Offering***</w:t>
            </w:r>
          </w:p>
        </w:tc>
        <w:tc>
          <w:tcPr>
            <w:tcW w:w="64" w:type="dxa"/>
            <w:tcBorders/>
            <w:tcMar>
              <w:bottom w:w="0" w:type="dxa"/>
            </w:tcMar>
            <w:vAlign w:val="center"/>
          </w:tcPr>
          <w:p>
            <w:pPr>
              <w:pStyle w:val="TableContents"/>
              <w:bidi w:val="0"/>
              <w:spacing w:before="0" w:after="0"/>
              <w:ind w:left="0" w:right="0" w:hanging="0"/>
              <w:jc w:val="left"/>
              <w:rPr/>
            </w:pPr>
            <w:r>
              <w:rPr/>
              <w:t>​</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3i, LP (2)</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7" w:type="dxa"/>
            <w:tcBorders/>
            <w:shd w:fill="CCEEFF" w:val="clear"/>
            <w:tcMar>
              <w:bottom w:w="0" w:type="dxa"/>
            </w:tcMar>
            <w:vAlign w:val="center"/>
          </w:tcPr>
          <w:p>
            <w:pPr>
              <w:pStyle w:val="TableContents"/>
              <w:bidi w:val="0"/>
              <w:spacing w:before="0" w:after="0"/>
              <w:ind w:left="0" w:right="0" w:hanging="0"/>
              <w:jc w:val="left"/>
              <w:rPr/>
            </w:pPr>
            <w:r>
              <w:rPr/>
              <w:t>​</w:t>
            </w:r>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602,705</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0" w:type="dxa"/>
            <w:tcBorders/>
            <w:shd w:fill="CCEEFF" w:val="clear"/>
            <w:tcMar>
              <w:bottom w:w="0" w:type="dxa"/>
            </w:tcMar>
            <w:vAlign w:val="center"/>
          </w:tcPr>
          <w:p>
            <w:pPr>
              <w:pStyle w:val="TableContents"/>
              <w:bidi w:val="0"/>
              <w:spacing w:before="0" w:after="0"/>
              <w:ind w:left="0" w:right="0" w:hanging="0"/>
              <w:jc w:val="left"/>
              <w:rPr/>
            </w:pPr>
            <w:r>
              <w:rPr/>
              <w:t>​</w:t>
            </w:r>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477,705</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9" w:type="dxa"/>
            <w:tcBorders/>
            <w:shd w:fill="CCEEFF" w:val="clear"/>
            <w:tcMar>
              <w:bottom w:w="0" w:type="dxa"/>
            </w:tcMar>
            <w:vAlign w:val="center"/>
          </w:tcPr>
          <w:p>
            <w:pPr>
              <w:pStyle w:val="TableContents"/>
              <w:bidi w:val="0"/>
              <w:spacing w:before="0" w:after="0"/>
              <w:ind w:left="0" w:right="0" w:hanging="0"/>
              <w:jc w:val="left"/>
              <w:rPr/>
            </w:pPr>
            <w:r>
              <w:rPr/>
              <w:t>​</w:t>
            </w:r>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125,000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4" w:type="dxa"/>
            <w:tcBorders/>
            <w:shd w:fill="CCEEFF" w:val="clear"/>
            <w:tcMar>
              <w:bottom w:w="0" w:type="dxa"/>
            </w:tcMar>
            <w:vAlign w:val="center"/>
          </w:tcPr>
          <w:p>
            <w:pPr>
              <w:pStyle w:val="TableContents"/>
              <w:bidi w:val="0"/>
              <w:spacing w:before="0" w:after="0"/>
              <w:ind w:left="0" w:right="0" w:hanging="0"/>
              <w:jc w:val="left"/>
              <w:rPr/>
            </w:pPr>
            <w:r>
              <w:rPr/>
              <w:t> </w:t>
            </w:r>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Armistice Capital, LLC (3)</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67" w:type="dxa"/>
            <w:tcBorders/>
            <w:shd w:fill="FFFFFF" w:val="clear"/>
            <w:tcMar>
              <w:bottom w:w="0" w:type="dxa"/>
            </w:tcMar>
            <w:vAlign w:val="center"/>
          </w:tcPr>
          <w:p>
            <w:pPr>
              <w:pStyle w:val="TableContents"/>
              <w:bidi w:val="0"/>
              <w:spacing w:before="0" w:after="0"/>
              <w:ind w:left="0" w:right="0" w:hanging="0"/>
              <w:jc w:val="left"/>
              <w:rPr/>
            </w:pPr>
            <w:r>
              <w:rPr/>
              <w:t>​</w:t>
            </w:r>
          </w:p>
        </w:tc>
        <w:tc>
          <w:tcPr>
            <w:tcW w:w="2487"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5,512,952</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0" w:type="dxa"/>
            <w:tcBorders/>
            <w:shd w:fill="FFFFFF" w:val="clear"/>
            <w:tcMar>
              <w:bottom w:w="0" w:type="dxa"/>
            </w:tcMar>
            <w:vAlign w:val="center"/>
          </w:tcPr>
          <w:p>
            <w:pPr>
              <w:pStyle w:val="TableContents"/>
              <w:bidi w:val="0"/>
              <w:spacing w:before="0" w:after="0"/>
              <w:ind w:left="0" w:right="0" w:hanging="0"/>
              <w:jc w:val="left"/>
              <w:rPr/>
            </w:pPr>
            <w:r>
              <w:rPr/>
              <w:t>​</w:t>
            </w:r>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4,778,589</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9" w:type="dxa"/>
            <w:tcBorders/>
            <w:shd w:fill="FFFFFF" w:val="clear"/>
            <w:tcMar>
              <w:bottom w:w="0" w:type="dxa"/>
            </w:tcMar>
            <w:vAlign w:val="center"/>
          </w:tcPr>
          <w:p>
            <w:pPr>
              <w:pStyle w:val="TableContents"/>
              <w:bidi w:val="0"/>
              <w:spacing w:before="0" w:after="0"/>
              <w:ind w:left="0" w:right="0" w:hanging="0"/>
              <w:jc w:val="left"/>
              <w:rPr/>
            </w:pPr>
            <w:r>
              <w:rPr/>
              <w:t>​</w:t>
            </w:r>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734,363</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394" w:type="dxa"/>
            <w:tcBorders/>
            <w:shd w:fill="FFFFFF" w:val="clear"/>
            <w:tcMar>
              <w:bottom w:w="0" w:type="dxa"/>
            </w:tcMar>
            <w:vAlign w:val="center"/>
          </w:tcPr>
          <w:p>
            <w:pPr>
              <w:pStyle w:val="TableContents"/>
              <w:bidi w:val="0"/>
              <w:spacing w:before="0" w:after="0"/>
              <w:ind w:left="0" w:right="0" w:hanging="0"/>
              <w:jc w:val="left"/>
              <w:rPr/>
            </w:pPr>
            <w:r>
              <w:rPr/>
              <w:t>​</w:t>
            </w:r>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Joshua S. Boger 2021 Trust (4)</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7" w:type="dxa"/>
            <w:tcBorders/>
            <w:shd w:fill="CCEEFF" w:val="clear"/>
            <w:tcMar>
              <w:bottom w:w="0" w:type="dxa"/>
            </w:tcMar>
            <w:vAlign w:val="center"/>
          </w:tcPr>
          <w:p>
            <w:pPr>
              <w:pStyle w:val="TableContents"/>
              <w:bidi w:val="0"/>
              <w:spacing w:before="0" w:after="0"/>
              <w:ind w:left="0" w:right="0" w:hanging="0"/>
              <w:jc w:val="left"/>
              <w:rPr/>
            </w:pPr>
            <w:r>
              <w:rPr/>
              <w:t>​</w:t>
            </w:r>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3,923,510</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0" w:type="dxa"/>
            <w:tcBorders/>
            <w:shd w:fill="CCEEFF" w:val="clear"/>
            <w:tcMar>
              <w:bottom w:w="0" w:type="dxa"/>
            </w:tcMar>
            <w:vAlign w:val="center"/>
          </w:tcPr>
          <w:p>
            <w:pPr>
              <w:pStyle w:val="TableContents"/>
              <w:bidi w:val="0"/>
              <w:spacing w:before="0" w:after="0"/>
              <w:ind w:left="0" w:right="0" w:hanging="0"/>
              <w:jc w:val="left"/>
              <w:rPr/>
            </w:pPr>
            <w:r>
              <w:rPr/>
              <w:t>​</w:t>
            </w:r>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2,866,242</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9" w:type="dxa"/>
            <w:tcBorders/>
            <w:shd w:fill="CCEEFF" w:val="clear"/>
            <w:tcMar>
              <w:bottom w:w="0" w:type="dxa"/>
            </w:tcMar>
            <w:vAlign w:val="center"/>
          </w:tcPr>
          <w:p>
            <w:pPr>
              <w:pStyle w:val="TableContents"/>
              <w:bidi w:val="0"/>
              <w:spacing w:before="0" w:after="0"/>
              <w:ind w:left="0" w:right="0" w:hanging="0"/>
              <w:jc w:val="left"/>
              <w:rPr/>
            </w:pPr>
            <w:r>
              <w:rPr/>
              <w:t>​</w:t>
            </w:r>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1,057,268</w:t>
            </w:r>
          </w:p>
        </w:tc>
        <w:tc>
          <w:tcPr>
            <w:tcW w:w="60" w:type="dxa"/>
            <w:tcBorders/>
            <w:shd w:fill="CCEEFF" w:val="clear"/>
            <w:tcMar>
              <w:bottom w:w="0" w:type="dxa"/>
            </w:tcMar>
            <w:vAlign w:val="center"/>
          </w:tcPr>
          <w:p>
            <w:pPr>
              <w:pStyle w:val="TableContents"/>
              <w:bidi w:val="0"/>
              <w:spacing w:before="0" w:after="0"/>
              <w:ind w:left="0" w:right="0" w:hanging="0"/>
              <w:jc w:val="left"/>
              <w:rPr/>
            </w:pPr>
            <w:r>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w:t>
            </w:r>
          </w:p>
        </w:tc>
        <w:tc>
          <w:tcPr>
            <w:tcW w:w="394" w:type="dxa"/>
            <w:tcBorders/>
            <w:shd w:fill="CCEEFF" w:val="clear"/>
            <w:tcMar>
              <w:bottom w:w="0" w:type="dxa"/>
            </w:tcMar>
            <w:vAlign w:val="center"/>
          </w:tcPr>
          <w:p>
            <w:pPr>
              <w:pStyle w:val="TableContents"/>
              <w:bidi w:val="0"/>
              <w:spacing w:before="0" w:after="0"/>
              <w:ind w:left="0" w:right="0" w:hanging="0"/>
              <w:jc w:val="left"/>
              <w:rPr/>
            </w:pPr>
            <w:r>
              <w:rPr/>
              <w:t>​</w:t>
            </w:r>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7.5%</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JGA Trust (5)</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67" w:type="dxa"/>
            <w:tcBorders/>
            <w:shd w:fill="FFFFFF" w:val="clear"/>
            <w:tcMar>
              <w:bottom w:w="0" w:type="dxa"/>
            </w:tcMar>
            <w:vAlign w:val="center"/>
          </w:tcPr>
          <w:p>
            <w:pPr>
              <w:pStyle w:val="TableContents"/>
              <w:bidi w:val="0"/>
              <w:spacing w:before="0" w:after="0"/>
              <w:ind w:left="0" w:right="0" w:hanging="0"/>
              <w:jc w:val="left"/>
              <w:rPr/>
            </w:pPr>
            <w:r>
              <w:rPr/>
              <w:t>​</w:t>
            </w:r>
          </w:p>
        </w:tc>
        <w:tc>
          <w:tcPr>
            <w:tcW w:w="2487" w:type="dxa"/>
            <w:tcBorders/>
            <w:shd w:fill="FFFFFF" w:val="clear"/>
            <w:tcMar>
              <w:bottom w:w="0" w:type="dxa"/>
            </w:tcMar>
            <w:vAlign w:val="center"/>
          </w:tcPr>
          <w:p>
            <w:pPr>
              <w:pStyle w:val="TableContents"/>
              <w:bidi w:val="0"/>
              <w:spacing w:before="0" w:after="0"/>
              <w:ind w:left="0" w:right="0" w:hanging="0"/>
              <w:jc w:val="center"/>
              <w:rPr/>
            </w:pPr>
            <w:r>
              <w:rPr/>
              <w:t> </w:t>
            </w:r>
            <w:r>
              <w:rPr>
                <w:rFonts w:ascii="Times New Roman" w:hAnsi="Times New Roman"/>
                <w:sz w:val="20"/>
              </w:rPr>
              <w:t>895,611</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0" w:type="dxa"/>
            <w:tcBorders/>
            <w:shd w:fill="FFFFFF" w:val="clear"/>
            <w:tcMar>
              <w:bottom w:w="0" w:type="dxa"/>
            </w:tcMar>
            <w:vAlign w:val="center"/>
          </w:tcPr>
          <w:p>
            <w:pPr>
              <w:pStyle w:val="TableContents"/>
              <w:bidi w:val="0"/>
              <w:spacing w:before="0" w:after="0"/>
              <w:ind w:left="0" w:right="0" w:hanging="0"/>
              <w:jc w:val="left"/>
              <w:rPr/>
            </w:pPr>
            <w:r>
              <w:rPr/>
              <w:t>​</w:t>
            </w:r>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621,018</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9" w:type="dxa"/>
            <w:tcBorders/>
            <w:shd w:fill="FFFFFF" w:val="clear"/>
            <w:tcMar>
              <w:bottom w:w="0" w:type="dxa"/>
            </w:tcMar>
            <w:vAlign w:val="center"/>
          </w:tcPr>
          <w:p>
            <w:pPr>
              <w:pStyle w:val="TableContents"/>
              <w:bidi w:val="0"/>
              <w:spacing w:before="0" w:after="0"/>
              <w:ind w:left="0" w:right="0" w:hanging="0"/>
              <w:jc w:val="left"/>
              <w:rPr/>
            </w:pPr>
            <w:r>
              <w:rPr/>
              <w:t>​</w:t>
            </w:r>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274,593</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394" w:type="dxa"/>
            <w:tcBorders/>
            <w:shd w:fill="FFFFFF" w:val="clear"/>
            <w:tcMar>
              <w:bottom w:w="0" w:type="dxa"/>
            </w:tcMar>
            <w:vAlign w:val="center"/>
          </w:tcPr>
          <w:p>
            <w:pPr>
              <w:pStyle w:val="TableContents"/>
              <w:bidi w:val="0"/>
              <w:spacing w:before="0" w:after="0"/>
              <w:ind w:left="0" w:right="0" w:hanging="0"/>
              <w:jc w:val="left"/>
              <w:rPr/>
            </w:pPr>
            <w:r>
              <w:rPr/>
              <w:t>​</w:t>
            </w:r>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MGW Trust (6)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7" w:type="dxa"/>
            <w:tcBorders/>
            <w:shd w:fill="CCEEFF" w:val="clear"/>
            <w:tcMar>
              <w:bottom w:w="0" w:type="dxa"/>
            </w:tcMar>
            <w:vAlign w:val="center"/>
          </w:tcPr>
          <w:p>
            <w:pPr>
              <w:pStyle w:val="TableContents"/>
              <w:bidi w:val="0"/>
              <w:spacing w:before="0" w:after="0"/>
              <w:ind w:left="0" w:right="0" w:hanging="0"/>
              <w:jc w:val="left"/>
              <w:rPr/>
            </w:pPr>
            <w:r>
              <w:rPr/>
              <w:t>​</w:t>
            </w:r>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895,611</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0" w:type="dxa"/>
            <w:tcBorders/>
            <w:shd w:fill="CCEEFF" w:val="clear"/>
            <w:tcMar>
              <w:bottom w:w="0" w:type="dxa"/>
            </w:tcMar>
            <w:vAlign w:val="center"/>
          </w:tcPr>
          <w:p>
            <w:pPr>
              <w:pStyle w:val="TableContents"/>
              <w:bidi w:val="0"/>
              <w:spacing w:before="0" w:after="0"/>
              <w:ind w:left="0" w:right="0" w:hanging="0"/>
              <w:jc w:val="left"/>
              <w:rPr/>
            </w:pPr>
            <w:r>
              <w:rPr/>
              <w:t>​</w:t>
            </w:r>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621,018</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9" w:type="dxa"/>
            <w:tcBorders/>
            <w:shd w:fill="CCEEFF" w:val="clear"/>
            <w:tcMar>
              <w:bottom w:w="0" w:type="dxa"/>
            </w:tcMar>
            <w:vAlign w:val="center"/>
          </w:tcPr>
          <w:p>
            <w:pPr>
              <w:pStyle w:val="TableContents"/>
              <w:bidi w:val="0"/>
              <w:spacing w:before="0" w:after="0"/>
              <w:ind w:left="0" w:right="0" w:hanging="0"/>
              <w:jc w:val="left"/>
              <w:rPr/>
            </w:pPr>
            <w:r>
              <w:rPr/>
              <w:t>​</w:t>
            </w:r>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274,593</w:t>
            </w:r>
          </w:p>
        </w:tc>
        <w:tc>
          <w:tcPr>
            <w:tcW w:w="60" w:type="dxa"/>
            <w:tcBorders/>
            <w:shd w:fill="CCEEFF" w:val="clear"/>
            <w:tcMar>
              <w:bottom w:w="0" w:type="dxa"/>
            </w:tcMar>
            <w:vAlign w:val="center"/>
          </w:tcPr>
          <w:p>
            <w:pPr>
              <w:pStyle w:val="TableContents"/>
              <w:bidi w:val="0"/>
              <w:spacing w:before="0" w:after="0"/>
              <w:ind w:left="0" w:right="0" w:hanging="0"/>
              <w:jc w:val="left"/>
              <w:rPr/>
            </w:pPr>
            <w:r>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w:t>
            </w:r>
          </w:p>
        </w:tc>
        <w:tc>
          <w:tcPr>
            <w:tcW w:w="394" w:type="dxa"/>
            <w:tcBorders/>
            <w:shd w:fill="CCEEFF" w:val="clear"/>
            <w:tcMar>
              <w:bottom w:w="0" w:type="dxa"/>
            </w:tcMar>
            <w:vAlign w:val="center"/>
          </w:tcPr>
          <w:p>
            <w:pPr>
              <w:pStyle w:val="TableContents"/>
              <w:bidi w:val="0"/>
              <w:spacing w:before="0" w:after="0"/>
              <w:ind w:left="0" w:right="0" w:hanging="0"/>
              <w:jc w:val="left"/>
              <w:rPr/>
            </w:pPr>
            <w:r>
              <w:rPr/>
              <w:t>​</w:t>
            </w:r>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Woodline Master Fund LP (7)</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67" w:type="dxa"/>
            <w:tcBorders/>
            <w:shd w:fill="FFFFFF" w:val="clear"/>
            <w:tcMar>
              <w:bottom w:w="0" w:type="dxa"/>
            </w:tcMar>
            <w:vAlign w:val="center"/>
          </w:tcPr>
          <w:p>
            <w:pPr>
              <w:pStyle w:val="TableContents"/>
              <w:bidi w:val="0"/>
              <w:spacing w:before="0" w:after="0"/>
              <w:ind w:left="0" w:right="0" w:hanging="0"/>
              <w:jc w:val="left"/>
              <w:rPr/>
            </w:pPr>
            <w:r>
              <w:rPr/>
              <w:t>​</w:t>
            </w:r>
          </w:p>
        </w:tc>
        <w:tc>
          <w:tcPr>
            <w:tcW w:w="2487"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1,166,559</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0" w:type="dxa"/>
            <w:tcBorders/>
            <w:shd w:fill="FFFFFF" w:val="clear"/>
            <w:tcMar>
              <w:bottom w:w="0" w:type="dxa"/>
            </w:tcMar>
            <w:vAlign w:val="center"/>
          </w:tcPr>
          <w:p>
            <w:pPr>
              <w:pStyle w:val="TableContents"/>
              <w:bidi w:val="0"/>
              <w:spacing w:before="0" w:after="0"/>
              <w:ind w:left="0" w:right="0" w:hanging="0"/>
              <w:jc w:val="left"/>
              <w:rPr/>
            </w:pPr>
            <w:r>
              <w:rPr/>
              <w:t>​</w:t>
            </w:r>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716,559</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9" w:type="dxa"/>
            <w:tcBorders/>
            <w:shd w:fill="FFFFFF" w:val="clear"/>
            <w:tcMar>
              <w:bottom w:w="0" w:type="dxa"/>
            </w:tcMar>
            <w:vAlign w:val="center"/>
          </w:tcPr>
          <w:p>
            <w:pPr>
              <w:pStyle w:val="TableContents"/>
              <w:bidi w:val="0"/>
              <w:spacing w:before="0" w:after="0"/>
              <w:ind w:left="0" w:right="0" w:hanging="0"/>
              <w:jc w:val="left"/>
              <w:rPr/>
            </w:pPr>
            <w:r>
              <w:rPr/>
              <w:t>​</w:t>
            </w:r>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450,000</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w:t>
            </w:r>
          </w:p>
        </w:tc>
        <w:tc>
          <w:tcPr>
            <w:tcW w:w="394" w:type="dxa"/>
            <w:tcBorders/>
            <w:shd w:fill="FFFFFF" w:val="clear"/>
            <w:tcMar>
              <w:bottom w:w="0" w:type="dxa"/>
            </w:tcMar>
            <w:vAlign w:val="center"/>
          </w:tcPr>
          <w:p>
            <w:pPr>
              <w:pStyle w:val="TableContents"/>
              <w:bidi w:val="0"/>
              <w:spacing w:before="0" w:after="0"/>
              <w:ind w:left="0" w:right="0" w:hanging="0"/>
              <w:jc w:val="left"/>
              <w:rPr/>
            </w:pPr>
            <w:r>
              <w:rPr/>
              <w:t>​</w:t>
            </w:r>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Represents beneficial ownership of less than 1%.</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Subject to beneficial ownership blocker.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Based upon 13,526,233 shares outstanding as of June 22,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Assumes that all common stock being registered under the registration statement of which this prospectus forms a part are sold in this offering, and that none of the selling stockholders acquire additional common stock after the date of this prospectus and prior to completion of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89"/>
        <w:gridCol w:w="9916"/>
      </w:tblGrid>
      <w:tr>
        <w:trPr/>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284,235 shares of common stock, of which 159,235 shares were issued by us in the Private Placement and which we are registering hereby, (ii) Series B Warrants to purchase an aggregate of 159,235 shares of common stock issued by us in the Private Placement and which we are registering hereby, and (iii) Series C Warrants to purchase an aggregate of 159,235 shares of Common Stock issued by us in the Private Placement and which we are registering hereby.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89"/>
        <w:gridCol w:w="9916"/>
      </w:tblGrid>
      <w:tr>
        <w:trPr/>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Series A warrants issued by us in a prior transaction (the “Series A Warrants”) which entitle the selling stockholder to purchase an aggregate of 734,363 shares of common stock, (ii) Pre-funded Warrants to purchase an aggregate of 1,592,863 shares of common stock issued by us in the Private Placement and which we are registering hereby, (iii) Series B Warrants to purchase an aggregate of 1,592,863 shares of common stock issued by us in the Private Placement and which we are registering hereby, and (iv) Series C Warrants to purchase an aggregate of 1,592,863 shares of Common Stock issued by us in the Private Placement and which we are registering hereby.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Series A Warrants, Series B Warrants and Series C Warrants are subject to a beneficial ownership limitation of 4.99%, and the Pre-Funded Warrants are subject to a beneficial ownership limitation of 9.999%,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(i) 216,817 shares of common stock held directly by Joshua Boger, PhD, (ii) 1,600,117 shares of common stock held by the Joshua S. Boger 2021 Trust (the “Boger Trust”), of which 955,414 shares were issued by us in the Private Placement and which we are registering hereby, (iii) 195,748 shares of common stock held by The Amy S. Boger 2021 Trust (“ASB 2021 Trust”), (iv) Series B Warrants to purchase an aggregate of 955,414 shares of common stock issued by us in the Private Placement and which we are registering hereby, and (v) Series C Warrants to purchase an aggregate of 955,414 shares of Common Stock issued by us in the Private Placement and which we are registering hereby. Dr. Boger is the sole trustee of the Boger Trust and the ASB 2021 Trust and may be deemed to be the beneficial owner of such securities. Dr. Boger disclaims beneficial ownership of such securities except to the extent of his pecuniary interest therein. The Series B Warrants and Series C Warrants are subject to a beneficial ownership limitation of 19.99%,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Dr. Boger is c/o CervoMed Inc., 20 Park Plaza, Suite 424, Boston, MA 02116.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481,599 shares of common stock, of which 207,006 shares were issued by us in the Private Placement and which we are registering hereby, (ii) Series B Warrants to purchase an aggregate of 207,006 shares of common stock issued by us in the Private Placement and which we are registering hereby, and (iii) Series C Warrants to purchase an aggregate of 207,006 shares of Common Stock issued by us in the Private Placement and which we are registering hereby. The JGA Trust is one of multiple trusts established by John Alam, M.D. and his wife, Sylvie Grégoire, Pharm.D., for the benefit of family members. Dr. Alam and Dr. Grégoire are directors of the Company and Dr. Alam serves as our President and Chief Executive Officer. Dr. Alam and Dr. Grégoire do not possess authority to vote or dispose of the securities held by The JGA Trust, and they disclaim beneficial ownership of such securities.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The JGA Trust is c/o Michel Grégoire, Trustee, 1510 Menlo Drive, Kennesaw, GA 30152.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481,599 shares of common stock, of which 207,006 shares were issued by us in the Private Placement and which we are registering hereby, (ii) Series B Warrants to purchase an aggregate of 207,006 shares of common stock issued by us in the Private Placement and which we are registering hereby, and (iii) Series C Warrants to purchase an aggregate of 207,006 shares of Common Stock issued by us in the Private Placement and which we are registering hereby. The MGW Trust is one of multiple trusts established by Dr. Alam and his wife, Dr. Grégoire, for the benefit of family members. Dr. Alam and Dr. Grégoire are directors of the Company and Dr. Alam serves as our President and Chief Executive Officer. Dr. Alam and Dr. Grégoire do not possess authority to vote or dispose of the securities held by The MGW Trust, and they disclaim beneficial ownership of such securities.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The MGW Trust is c/o Michel Grégoire, Trustee, 1510 Menlo Drive, Kennesaw, GA 30152.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688,853 shares of common stock, of which 238,853 shares were issued by us in the Private Placement and which we are registering hereby, (ii) Series B Warrants to purchase an aggregate of 238,853 shares of common stock issued by us in the Private Placement and which we are registering hereby, and (iii) Series C Warrants to purchase an aggregate of 238,853 shares of Common Stock issued by us in the Private Placement and which we are registering hereby. Woodline Partners LP serves as the investment manager of Woodline Master Fund LP and may be deemed to be the beneficial owner of the shares. Woodline Partners LP disclaims any beneficial ownership of these shares.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Woodline Master Fund LP is 4 Embarcadero Center, Suite 3450, San Francisco, CA 94111.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PLAN OF DISTRIBUTION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Each selling stockholder and any of their pledgees, assignees and successors-in-interest may, from time to time, sell any or all of common stock (including any common stock issuable upon the exercise of Pre-Funded Warrants, Series B Warrants and/or Series C Warrants) covered by this prospectus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any national securities exchange or quotation service on which the securities may be listed or quoted at the time of sale;</w:t>
            </w:r>
          </w:p>
        </w:tc>
      </w:tr>
    </w:tbl>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over-the-counter market;</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transactions otherwise than on these exchanges or systems or in the over-the-counter market;</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the writing of options, whether such options are listed on an options exchange or otherwise;</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ordinary brokerage transactions and transactions in which the broker-dealer solicits purchasers;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block trades in which the broker-dealer will attempt to sell the shares as agent but may position and resell a portion of the block as principal to facilitate the transaction;</w:t>
            </w:r>
          </w:p>
        </w:tc>
      </w:tr>
    </w:tbl>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purchases by a broker-dealer as principal and resale by the broker-dealer for its account;</w:t>
            </w:r>
          </w:p>
        </w:tc>
      </w:tr>
    </w:tbl>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exchange distribution in accordance with the rules of the applicable exchange;</w:t>
            </w:r>
          </w:p>
        </w:tc>
      </w:tr>
    </w:tbl>
    <w:tbl>
      <w:tblPr>
        <w:tblW w:w="2980" w:type="dxa"/>
        <w:jc w:val="left"/>
        <w:tblInd w:w="0" w:type="dxa"/>
        <w:tblLayout w:type="fixed"/>
        <w:tblCellMar>
          <w:top w:w="0" w:type="dxa"/>
          <w:left w:w="0" w:type="dxa"/>
          <w:bottom w:w="0" w:type="dxa"/>
          <w:right w:w="0" w:type="dxa"/>
        </w:tblCellMar>
      </w:tblPr>
      <w:tblGrid>
        <w:gridCol w:w="60"/>
        <w:gridCol w:w="170"/>
        <w:gridCol w:w="27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privately negotiated transactions;</w:t>
            </w:r>
          </w:p>
        </w:tc>
      </w:tr>
    </w:tbl>
    <w:tbl>
      <w:tblPr>
        <w:tblW w:w="1150" w:type="dxa"/>
        <w:jc w:val="left"/>
        <w:tblInd w:w="0" w:type="dxa"/>
        <w:tblLayout w:type="fixed"/>
        <w:tblCellMar>
          <w:top w:w="0" w:type="dxa"/>
          <w:left w:w="0" w:type="dxa"/>
          <w:bottom w:w="0" w:type="dxa"/>
          <w:right w:w="0" w:type="dxa"/>
        </w:tblCellMar>
      </w:tblPr>
      <w:tblGrid>
        <w:gridCol w:w="60"/>
        <w:gridCol w:w="170"/>
        <w:gridCol w:w="92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short sales;</w:t>
            </w:r>
          </w:p>
        </w:tc>
      </w:tr>
    </w:tbl>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pursuant to Rule 144;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broker-dealers may agree with the selling stockholders to sell a specified number of such shares at a stipulated price per share;</w:t>
            </w:r>
          </w:p>
        </w:tc>
      </w:tr>
    </w:tbl>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combination of any such methods of sale; and</w:t>
            </w:r>
          </w:p>
        </w:tc>
      </w:tr>
    </w:tbl>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and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may pledge or grant a security interest in some or all of the common stock, the warrants or shares of common stock they acquire upon the exercise of Pre-Funded Warrants, Series B Warrants and/or Series C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all expenses of the registration of the shares of common stock (including common stock issuable upon exercise of the Pre-Funded Warrants, Series B Warrants and/or Series C Warrants) pursuant to the Purchase Agreement, estimated to be approximately $77,000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LEGAL MATTERS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legal matters in connection with the validity of the securities offered hereby will passed upon for us by Mintz, Levin, Cohn, Ferris, Glovsky and Popeo, P.C., Boston, Massachusetts.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EXPERTS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CervoMed Inc. and its subsidiaries as of December 31, 2025 and 2024 and for the years then ended  incorporated in this prospectus by reference from the CervoMed Inc. Annual Report on Form 10-K for the year ended December 31, 2025, have been audited by RSM US LLP, an independent registered public accounting firm, as stated in their report thereon (which report on the consolidated financial statements expresses an unqualified opinion and includes an explanatory paragraph relating to CervoMed Inc.’s ability to continue as a going concern), incorporated herein by reference, and have been incorporated in this prospectus and registration statement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WHERE YOU CAN FIND MORE INFORMATION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only part of a registration statement on Form S-3 that we have filed with the SEC under the Securities Act, and therefore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subject to the reporting requirements of the Exchange Act and file annual reports on Form 10-K, quarterly reports on Form 10-Q, current reports on Form 8-K, proxy statements and other information and amendments to those reports filed or furnished with the SEC. SEC filings are available at the SEC’s website at </w:t>
      </w:r>
      <w:r>
        <w:rPr>
          <w:rFonts w:ascii="Times New Roman" w:hAnsi="Times New Roman"/>
          <w:i/>
          <w:caps w:val="false"/>
          <w:smallCaps w:val="false"/>
          <w:sz w:val="20"/>
        </w:rPr>
        <w:t>http://www.sec.gov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maintain a website at </w:t>
      </w:r>
      <w:r>
        <w:rPr>
          <w:rFonts w:ascii="Times New Roman" w:hAnsi="Times New Roman"/>
          <w:i/>
          <w:caps w:val="false"/>
          <w:smallCaps w:val="false"/>
          <w:sz w:val="20"/>
        </w:rPr>
        <w:t>www.cervomed.com,</w:t>
      </w:r>
      <w:r>
        <w:rPr>
          <w:rFonts w:ascii="Times New Roman" w:hAnsi="Times New Roman"/>
          <w:caps w:val="false"/>
          <w:smallCaps w:val="false"/>
          <w:sz w:val="20"/>
        </w:rPr>
        <w:t> through which you can access our SEC filings.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center"/>
        <w:rPr>
          <w:rFonts w:ascii="Times New Roman" w:hAnsi="Times New Roman"/>
          <w:caps w:val="false"/>
          <w:smallCaps w:val="false"/>
          <w:sz w:val="20"/>
        </w:rPr>
      </w:pPr>
      <w:r>
        <w:rPr>
          <w:rFonts w:ascii="Times New Roman" w:hAnsi="Times New Roman"/>
          <w:b/>
          <w:caps w:val="false"/>
          <w:smallCaps w:val="false"/>
          <w:sz w:val="20"/>
        </w:rPr>
        <w:t>INFORMATION INCORPORATED BY REFERENCE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This means we can disclose information to you by referring you to another document we filed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w:t>
      </w:r>
      <w:r>
        <w:rPr>
          <w:rFonts w:ascii="Times New Roman" w:hAnsi="Times New Roman"/>
          <w:i/>
          <w:caps w:val="false"/>
          <w:smallCaps w:val="false"/>
          <w:sz w:val="20"/>
        </w:rPr>
        <w:t>http://www.sec.gov</w:t>
      </w:r>
      <w:r>
        <w:rPr>
          <w:rFonts w:ascii="Times New Roman" w:hAnsi="Times New Roman"/>
          <w:caps w:val="false"/>
          <w:smallCaps w:val="false"/>
          <w:sz w:val="20"/>
        </w:rPr>
        <w:t>.  This prospectus incorporates by reference the following documents (other than any portion of the respective filings furnished, rather than filed, under the applicable SEC rules) that we have filed with the SEC but have not included or delivered with this prospectus: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Form 10-K for the year ended December 31, 2025, filed with the SEC on </w:t>
            </w:r>
            <w:hyperlink r:id="rId4">
              <w:r>
                <w:rPr>
                  <w:rStyle w:val="InternetLink"/>
                  <w:rFonts w:ascii="Times New Roman" w:hAnsi="Times New Roman"/>
                  <w:caps w:val="false"/>
                  <w:smallCaps w:val="false"/>
                  <w:sz w:val="20"/>
                </w:rPr>
                <w:t>March 13,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Quarterly Reports on Form 10-Q for the quarter ended March 31, 2026, filed with the SEC on </w:t>
            </w:r>
            <w:hyperlink r:id="rId5">
              <w:r>
                <w:rPr>
                  <w:rStyle w:val="InternetLink"/>
                  <w:rFonts w:ascii="Times New Roman" w:hAnsi="Times New Roman"/>
                  <w:caps w:val="false"/>
                  <w:smallCaps w:val="false"/>
                  <w:sz w:val="20"/>
                </w:rPr>
                <w:t>May 15, 2026</w:t>
              </w:r>
            </w:hyperlink>
            <w:r>
              <w:rPr>
                <w:rFonts w:ascii="Times New Roman" w:hAnsi="Times New Roman"/>
                <w:caps w:val="false"/>
                <w:smallCaps w:val="false"/>
                <w:sz w:val="20"/>
              </w:rPr>
              <w:t>;</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portions of our Definitive Proxy Statement on Schedule 14A filed with the SEC on </w:t>
            </w:r>
            <w:hyperlink r:id="rId6">
              <w:r>
                <w:rPr>
                  <w:rStyle w:val="InternetLink"/>
                  <w:rFonts w:ascii="Times New Roman" w:hAnsi="Times New Roman"/>
                  <w:caps w:val="false"/>
                  <w:smallCaps w:val="false"/>
                  <w:sz w:val="20"/>
                </w:rPr>
                <w:t>April 30, 2026</w:t>
              </w:r>
            </w:hyperlink>
            <w:r>
              <w:rPr>
                <w:rFonts w:ascii="Times New Roman" w:hAnsi="Times New Roman"/>
                <w:caps w:val="false"/>
                <w:smallCaps w:val="false"/>
                <w:sz w:val="20"/>
              </w:rPr>
              <w:t xml:space="preserve"> that are deemed “filed” with the SEC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as filed with the SEC on </w:t>
            </w:r>
            <w:hyperlink r:id="rId7">
              <w:r>
                <w:rPr>
                  <w:rStyle w:val="InternetLink"/>
                  <w:rFonts w:ascii="Times New Roman" w:hAnsi="Times New Roman"/>
                  <w:caps w:val="false"/>
                  <w:smallCaps w:val="false"/>
                  <w:sz w:val="20"/>
                </w:rPr>
                <w:t>February 18,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March 4,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rPr>
                <w:t>March 19,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rPr>
                <w:t>April 22,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rPr>
                <w:t>June 9, 2026</w:t>
              </w:r>
            </w:hyperlink>
            <w:r>
              <w:rPr>
                <w:rFonts w:ascii="Times New Roman" w:hAnsi="Times New Roman"/>
                <w:caps w:val="false"/>
                <w:smallCaps w:val="false"/>
                <w:sz w:val="20"/>
              </w:rPr>
              <w:t xml:space="preserve">, </w:t>
            </w:r>
            <w:hyperlink r:id="rId12">
              <w:r>
                <w:rPr>
                  <w:rStyle w:val="InternetLink"/>
                  <w:rFonts w:ascii="Times New Roman" w:hAnsi="Times New Roman"/>
                  <w:caps w:val="false"/>
                  <w:smallCaps w:val="false"/>
                  <w:sz w:val="20"/>
                </w:rPr>
                <w:t>June 10, 2026</w:t>
              </w:r>
            </w:hyperlink>
            <w:r>
              <w:rPr>
                <w:rFonts w:ascii="Times New Roman" w:hAnsi="Times New Roman"/>
                <w:caps w:val="false"/>
                <w:smallCaps w:val="false"/>
                <w:sz w:val="20"/>
              </w:rPr>
              <w:t xml:space="preserve">, </w:t>
            </w:r>
            <w:hyperlink r:id="rId13">
              <w:r>
                <w:rPr>
                  <w:rStyle w:val="InternetLink"/>
                  <w:rFonts w:ascii="Times New Roman" w:hAnsi="Times New Roman"/>
                  <w:caps w:val="false"/>
                  <w:smallCaps w:val="false"/>
                  <w:sz w:val="20"/>
                </w:rPr>
                <w:t>June 18, 2026</w:t>
              </w:r>
            </w:hyperlink>
            <w:r>
              <w:rPr>
                <w:rFonts w:ascii="Times New Roman" w:hAnsi="Times New Roman"/>
                <w:caps w:val="false"/>
                <w:smallCaps w:val="false"/>
                <w:sz w:val="20"/>
              </w:rPr>
              <w:t xml:space="preserve">, </w:t>
            </w:r>
            <w:hyperlink r:id="rId14">
              <w:r>
                <w:rPr>
                  <w:rStyle w:val="InternetLink"/>
                  <w:rFonts w:ascii="Times New Roman" w:hAnsi="Times New Roman"/>
                  <w:caps w:val="false"/>
                  <w:smallCaps w:val="false"/>
                  <w:sz w:val="20"/>
                </w:rPr>
                <w:t>June 22, 2026</w:t>
              </w:r>
            </w:hyperlink>
            <w:r>
              <w:rPr>
                <w:rFonts w:ascii="Times New Roman" w:hAnsi="Times New Roman"/>
                <w:caps w:val="false"/>
                <w:smallCaps w:val="false"/>
                <w:sz w:val="20"/>
              </w:rPr>
              <w:t xml:space="preserve"> and </w:t>
            </w:r>
            <w:hyperlink r:id="rId15">
              <w:r>
                <w:rPr>
                  <w:rStyle w:val="InternetLink"/>
                  <w:rFonts w:ascii="Times New Roman" w:hAnsi="Times New Roman"/>
                  <w:caps w:val="false"/>
                  <w:smallCaps w:val="false"/>
                  <w:sz w:val="20"/>
                </w:rPr>
                <w:t>June 22, 2026</w:t>
              </w:r>
            </w:hyperlink>
            <w:r>
              <w:rPr>
                <w:rFonts w:ascii="Times New Roman" w:hAnsi="Times New Roman"/>
                <w:caps w:val="false"/>
                <w:smallCaps w:val="false"/>
                <w:sz w:val="20"/>
              </w:rPr>
              <w:t>;</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common stock included in the description of securities filed as </w:t>
            </w:r>
            <w:hyperlink r:id="rId16">
              <w:r>
                <w:rPr>
                  <w:rStyle w:val="InternetLink"/>
                  <w:rFonts w:ascii="Times New Roman" w:hAnsi="Times New Roman"/>
                  <w:caps w:val="false"/>
                  <w:smallCaps w:val="false"/>
                  <w:sz w:val="20"/>
                </w:rPr>
                <w:t>Exhibit 4.6</w:t>
              </w:r>
            </w:hyperlink>
            <w:r>
              <w:rPr>
                <w:rFonts w:ascii="Times New Roman" w:hAnsi="Times New Roman"/>
                <w:caps w:val="false"/>
                <w:smallCaps w:val="false"/>
                <w:sz w:val="20"/>
              </w:rPr>
              <w:t xml:space="preserve"> to our Annual Report on Form 10-K for the year ended December 31, 2025, filed with the SEC on March 13, 2026, as such description has been amended, and any amendment or report the Registrant may file with the SEC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all documents subsequently filed by us pursuant to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request a free copy of any or all of the documents incorporated by reference in this prospectus by writing or telephoning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CervoMed Inc.</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20 Park Plaza, Suite 424</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Boston, Massachusetts 02116</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(617) 744-4400</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also access these documents on our website, </w:t>
      </w:r>
      <w:r>
        <w:rPr>
          <w:rFonts w:ascii="Times New Roman" w:hAnsi="Times New Roman"/>
          <w:i/>
          <w:caps w:val="false"/>
          <w:smallCaps w:val="false"/>
          <w:sz w:val="20"/>
        </w:rPr>
        <w:t>www.cervomed.com</w:t>
      </w:r>
      <w:r>
        <w:rPr>
          <w:rFonts w:ascii="Times New Roman" w:hAnsi="Times New Roman"/>
          <w:caps w:val="false"/>
          <w:smallCaps w:val="false"/>
          <w:sz w:val="20"/>
        </w:rPr>
        <w:t>. The information contained on, or that can be accessed through, our website is not a part of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025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2000250" cy="5238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10,081,131 Shares of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 R O S P E C T U 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INFORMATION NOT REQUIRED IN PROSPECTUS</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 Other Expenses of Issuance and Distribution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various expenses to be incurred in connection with the registration of the securities being registered hereby, all of which will be borne by the registrant. All amounts are estimates except the Securities and Exchange Commission registration fee.</w:t>
      </w:r>
    </w:p>
    <w:p>
      <w:pPr>
        <w:pStyle w:val="TextBody"/>
        <w:bidi w:val="0"/>
        <w:spacing w:before="0" w:after="0"/>
        <w:ind w:left="0" w:right="0" w:hanging="0"/>
        <w:jc w:val="left"/>
        <w:rPr>
          <w:caps w:val="false"/>
          <w:smallCaps w:val="false"/>
        </w:rPr>
      </w:pPr>
      <w:r>
        <w:rPr>
          <w:caps w:val="false"/>
          <w:smallCaps w:val="false"/>
        </w:rPr>
        <w:t> </w:t>
      </w:r>
    </w:p>
    <w:tbl>
      <w:tblPr>
        <w:tblW w:w="5101" w:type="dxa"/>
        <w:jc w:val="left"/>
        <w:tblInd w:w="0" w:type="dxa"/>
        <w:tblLayout w:type="fixed"/>
        <w:tblCellMar>
          <w:top w:w="0" w:type="dxa"/>
          <w:left w:w="0" w:type="dxa"/>
          <w:bottom w:w="0" w:type="dxa"/>
          <w:right w:w="0" w:type="dxa"/>
        </w:tblCellMar>
      </w:tblPr>
      <w:tblGrid>
        <w:gridCol w:w="4340"/>
        <w:gridCol w:w="23"/>
        <w:gridCol w:w="125"/>
        <w:gridCol w:w="590"/>
        <w:gridCol w:w="23"/>
      </w:tblGrid>
      <w:tr>
        <w:trPr/>
        <w:tc>
          <w:tcPr>
            <w:tcW w:w="43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Securities and Exchange Commission registration fee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Printing and engraving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Legal fees and expenses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Accounting fees and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Miscellaneous expenses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76,948</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Indemnification of Directors and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permitted by Section 102 of the DGCL, the Company’s certificate of incorporation, as amended (the “Charter”), eliminates the liability of directors to the Company or its stockholders for monetary damages for breach of fiduciary duty as a director, except to the extent otherwise required by the DGCL,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145 of the DGCL permits indemnification of officers and directors under certain circumstances in connection with liabilities (including reimbursement for expenses incurred) arising under the Securities Act. The Charter provides that the Company will indemnify any person who is or was made a party to any proceeding by reason of the fact that such person is or was a director or officer of the Company against expenses, judgments, fines, penalties, and amounts paid in settlement incurred in connection therewith to the fullest extent authorized by the DGCL. The Company’s bylaws, as amended (the “Bylaws”), provide for a similar indemnity to directors and officers of the Company to the fullest extent authorized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Bylaws authorize the Company’s board of directors to enter into indemnification contracts with each of its officers and directors. The Company has entered into indemnification contracts with each of its directors and executive officers. The indemnification contracts provide for the indemnification of directors and officers against all expenses, liability, and loss actually reasonably incurred to the fullest extent permitted by the Company’s Charter,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Bylaws also authorize the Company to maintain insurance to protect any director or officer against any expense, liability, or loss, whether or not the Company would have the power to indemnify such person against such expense, liability, or loss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16.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registration statement, including those exhibits incorporated herein by reference to one of our prior filing under the Securities Act or the Exchange Act as indicated in parentheses: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Certificate of Incorporation of CervoMed Inc., as amended (incorporated by reference to Exhibit 3.1 to the Company’s Annual Report on Form 10-K filed with the SEC on March 24, 2023).</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rPr>
                <w:t>Certificate of Amendment, dated August 16, 2023, to the CervoMed Inc. Certificate of Incorporation, as amended, to implement a reverse stock split (incorporated by reference to Exhibit 3.3 to the Company’s Current Report on Form 8-K filed with the SEC on August 17, 2023).</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rPr>
                <w:t>Certificate of Amendment, dated August 16, 2023, to the CervoMed Inc. Certificate of Incorporation, as amended, to implement a corporate name change (incorporated by reference to Exhibit 3.4 to the Company’s Current Report on Form 8-K filed with the SEC on August 17, 2023).</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rPr>
                <w:t>By-Laws of CervoMed Inc., as amended (incorporated by reference to Exhibit 3.5 to the Company’s Current Report on Form 8-K filed with the SEC on August 17, 2023).</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rPr>
                <w:t>Form of Pre-Funded Warrant (incorporated by reference to Exhibit 4.1 to the Company’s Current Report on Form 8-K filed with the SEC on June 10, 2026).</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rPr>
                <w:t>Form of Series B Warrant (incorporated by reference to Exhibit 4.2 to the Company’s Current Report on Form 8-K filed with the SEC on June 10, 2026).</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rPr>
                <w:t>Form of Series C Warrant (incorporated by reference to Exhibit 4.3 to the Company’s Current Report on Form 8-K filed with the SEC on June 10, 2026).</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rPr>
                <w:t>Specimen Stock Certificate representing shares of CervoMed Inc.’s Common Stock, par value $0.001. (incorporated by reference from Exhibit 4.15 to the Company’s Annual Report on Form 10-K filed with the SEC on March 29, 2024).</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84234.htm">
              <w:r>
                <w:rPr>
                  <w:rStyle w:val="InternetLink"/>
                  <w:rFonts w:ascii="Times New Roman" w:hAnsi="Times New Roman"/>
                  <w:caps w:val="false"/>
                  <w:smallCaps w:val="false"/>
                  <w:sz w:val="20"/>
                </w:rPr>
                <w:t>Opinion of Mintz, Levin, Cohn, Ferris, Glovsky and Popeo, P.C.</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rPr>
                <w:t>Form of Securities Purchase Agreement, dated June 9, 2026, by and between CervoMed Inc. and each of the Investors party thereto (incorporated by reference to Exhibit 10.1 to the Company’s Current Report on Form 8-K filed with the SEC on June 10, 2026).</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84157.htm">
              <w:r>
                <w:rPr>
                  <w:rStyle w:val="InternetLink"/>
                  <w:rFonts w:ascii="Times New Roman" w:hAnsi="Times New Roman"/>
                  <w:caps w:val="false"/>
                  <w:smallCaps w:val="false"/>
                  <w:sz w:val="20"/>
                </w:rPr>
                <w:t>Consent of RSM US LLP, independent registered public accounting firm.</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84234.htm">
              <w:r>
                <w:rPr>
                  <w:rStyle w:val="InternetLink"/>
                  <w:rFonts w:ascii="Times New Roman" w:hAnsi="Times New Roman"/>
                  <w:caps w:val="false"/>
                  <w:smallCaps w:val="false"/>
                  <w:sz w:val="20"/>
                </w:rPr>
                <w:t>Consent of Mintz, Levin, Cohn, Ferris, Glovsky and Popeo, P.C. (included in its Opinion filed as Exhibit 5.1 hereto).</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Powers of Attorney (included on signature page).</w:t>
              </w:r>
            </w:hyperlink>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84158.htm">
              <w:r>
                <w:rPr>
                  <w:rStyle w:val="InternetLink"/>
                  <w:rFonts w:ascii="Times New Roman" w:hAnsi="Times New Roman"/>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17. Undertakings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 however</w:t>
      </w:r>
      <w:r>
        <w:rPr>
          <w:rFonts w:ascii="Times New Roman" w:hAnsi="Times New Roman"/>
          <w:caps w:val="false"/>
          <w:smallCaps w:val="false"/>
          <w:sz w:val="20"/>
        </w:rPr>
        <w:t>, that paragraphs (1)(i), (1)(ii) and (1)(iii) above do not apply if the registration statement is on Form S-1, Form S-3, Form SF-3 or Form F-3 and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aps w:val="false"/>
          <w:smallCaps w:val="false"/>
          <w:sz w:val="20"/>
        </w:rPr>
        <w:t xml:space="preserve">bona fide </w:t>
      </w:r>
      <w:r>
        <w:rPr>
          <w:rFonts w:ascii="Times New Roman" w:hAnsi="Times New Roman"/>
          <w:caps w:val="false"/>
          <w:smallCaps w:val="false"/>
          <w:sz w:val="20"/>
        </w:rPr>
        <w:t>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(4) That, for the purpose of determining liability under the Securities Act of 1933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caps w:val="false"/>
          <w:smallCaps w:val="false"/>
          <w:sz w:val="20"/>
        </w:rPr>
        <w:t>bona fide</w:t>
      </w:r>
      <w:r>
        <w:rPr>
          <w:rFonts w:ascii="Times New Roman" w:hAnsi="Times New Roman"/>
          <w:caps w:val="false"/>
          <w:smallCaps w:val="false"/>
          <w:sz w:val="20"/>
        </w:rPr>
        <w:t xml:space="preserve"> offering thereof. P</w:t>
      </w:r>
      <w:r>
        <w:rPr>
          <w:rFonts w:ascii="Times New Roman" w:hAnsi="Times New Roman"/>
          <w:i/>
          <w:caps w:val="false"/>
          <w:smallCaps w:val="false"/>
          <w:sz w:val="20"/>
        </w:rPr>
        <w:t>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pPr>
      <w:r>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00" w:right="0" w:firstLine="540"/>
        <w:jc w:val="both"/>
        <w:rPr>
          <w:rFonts w:ascii="Times New Roman" w:hAnsi="Times New Roman"/>
          <w:caps w:val="false"/>
          <w:smallCaps w:val="false"/>
          <w:sz w:val="20"/>
        </w:rPr>
      </w:pPr>
      <w:r>
        <w:rPr>
          <w:rFonts w:ascii="Times New Roman" w:hAnsi="Times New Roman"/>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The undersigned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aps w:val="false"/>
          <w:smallCaps w:val="false"/>
          <w:sz w:val="20"/>
        </w:rPr>
        <w:t xml:space="preserve">bona fide </w:t>
      </w:r>
      <w:r>
        <w:rPr>
          <w:rFonts w:ascii="Times New Roman" w:hAnsi="Times New Roman"/>
          <w:caps w:val="false"/>
          <w:smallCaps w:val="false"/>
          <w:sz w:val="20"/>
        </w:rPr>
        <w:t>offering thereof.</w:t>
      </w:r>
    </w:p>
    <w:p>
      <w:pPr>
        <w:pStyle w:val="TextBody"/>
        <w:bidi w:val="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Boston, Massachusetts on the 6</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July, 2026.</w:t>
      </w:r>
    </w:p>
    <w:tbl>
      <w:tblPr>
        <w:tblW w:w="3520" w:type="dxa"/>
        <w:jc w:val="left"/>
        <w:tblInd w:w="0" w:type="dxa"/>
        <w:tblLayout w:type="fixed"/>
        <w:tblCellMar>
          <w:top w:w="0" w:type="dxa"/>
          <w:left w:w="0" w:type="dxa"/>
          <w:bottom w:w="0" w:type="dxa"/>
          <w:right w:w="0" w:type="dxa"/>
        </w:tblCellMar>
      </w:tblPr>
      <w:tblGrid>
        <w:gridCol w:w="60"/>
        <w:gridCol w:w="320"/>
        <w:gridCol w:w="60"/>
        <w:gridCol w:w="3080"/>
      </w:tblGrid>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460" w:type="dxa"/>
            <w:gridSpan w:val="3"/>
            <w:tcBorders/>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CervoMed Inc.</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Alam, M.D.</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bookmarkStart w:id="2" w:name="poa"/>
      <w:bookmarkEnd w:id="2"/>
      <w:r>
        <w:rPr>
          <w:rFonts w:ascii="Times New Roman" w:hAnsi="Times New Roman"/>
          <w:b/>
          <w:caps w:val="false"/>
          <w:smallCaps w:val="false"/>
          <w:sz w:val="20"/>
        </w:rPr>
        <w:t>POWER OF ATTORNEY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constitutes and appoints John Alam, M.D. and William Elder, and each of them, as his true and lawful attorneys-in-fact and agents, with full power of substitution and resubstitution, for him and in his name, place and stead, in any and all capacities, to sign any and all amendments (including post-effective amendments) and exhibits to this registration statement and sign any registration statement for the same offering covered by the registration statement that is to be effective upon filing pursuant to Rule 462 promulgated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2315"/>
        <w:gridCol w:w="60"/>
        <w:gridCol w:w="5315"/>
        <w:gridCol w:w="60"/>
        <w:gridCol w:w="1025"/>
      </w:tblGrid>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and Signature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Alam, 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Alam, 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Officer and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General Counsel and Corporate Secretary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Joshua S. Boger, Ph.D.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 of the Board of Directors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Joshua S. Boger, Ph.D.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Sylvie Grégoire, PharmD.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Sylvie Grégoire, PharmD.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Jane Hollingsworth, J.D.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Jane Hollingsworth, J.D.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Jeff Poulton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Jeff Poulton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Quigley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3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Quigley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3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990" w:type="dxa"/>
        <w:jc w:val="left"/>
        <w:tblInd w:w="0" w:type="dxa"/>
        <w:tblLayout w:type="fixed"/>
        <w:tblCellMar>
          <w:top w:w="0" w:type="dxa"/>
          <w:left w:w="0" w:type="dxa"/>
          <w:bottom w:w="28" w:type="dxa"/>
          <w:right w:w="0" w:type="dxa"/>
        </w:tblCellMar>
      </w:tblPr>
      <w:tblGrid>
        <w:gridCol w:w="2165"/>
        <w:gridCol w:w="60"/>
        <w:gridCol w:w="680"/>
        <w:gridCol w:w="60"/>
        <w:gridCol w:w="1025"/>
      </w:tblGrid>
      <w:tr>
        <w:trPr/>
        <w:tc>
          <w:tcPr>
            <w:tcW w:w="21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Marwan Sabbagh, 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Marwan Sabbagh, 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16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r>
        <w:trPr/>
        <w:tc>
          <w:tcPr>
            <w:tcW w:w="21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Frank Zavrl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Frank Zavrl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02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22</w:t>
      </w:r>
    </w:p>
    <w:p>
      <w:pPr>
        <w:pStyle w:val="TextBody"/>
        <w:bidi w:val="0"/>
        <w:spacing w:before="0" w:after="0"/>
        <w:ind w:left="0" w:right="0" w:hanging="0"/>
        <w:jc w:val="right"/>
        <w:rPr>
          <w:rFonts w:ascii="Times New Roman" w:hAnsi="Times New Roman"/>
          <w:caps w:val="false"/>
          <w:smallCaps w:val="false"/>
          <w:sz w:val="20"/>
        </w:rPr>
      </w:pPr>
      <w:bookmarkStart w:id="3" w:name="ex_984234.htm"/>
      <w:bookmarkStart w:id="4" w:name="ksex_984234"/>
      <w:bookmarkEnd w:id="3"/>
      <w:bookmarkEnd w:id="4"/>
      <w:r>
        <w:rPr>
          <w:rFonts w:ascii="Times New Roman" w:hAnsi="Times New Roman"/>
          <w:b/>
          <w:caps w:val="false"/>
          <w:smallCaps w:val="false"/>
          <w:sz w:val="20"/>
        </w:rPr>
        <w:t>Exhibit 5.1</w:t>
      </w:r>
      <w:r>
        <w:rPr>
          <w:rFonts w:ascii="Times New Roman" w:hAnsi="Times New Roman"/>
          <w:caps w:val="false"/>
          <w:smallCaps w:val="false"/>
          <w:sz w:val="20"/>
        </w:rPr>
        <w:t xml:space="preserve"> </w:t>
      </w:r>
      <w:r>
        <w:br w:type="page"/>
      </w:r>
    </w:p>
    <w:tbl>
      <w:tblPr>
        <w:tblW w:w="3409" w:type="dxa"/>
        <w:jc w:val="left"/>
        <w:tblInd w:w="0" w:type="dxa"/>
        <w:tblLayout w:type="fixed"/>
        <w:tblCellMar>
          <w:top w:w="0" w:type="dxa"/>
          <w:left w:w="0" w:type="dxa"/>
          <w:bottom w:w="0" w:type="dxa"/>
          <w:right w:w="0" w:type="dxa"/>
        </w:tblCellMar>
      </w:tblPr>
      <w:tblGrid>
        <w:gridCol w:w="60"/>
        <w:gridCol w:w="495"/>
        <w:gridCol w:w="495"/>
        <w:gridCol w:w="495"/>
        <w:gridCol w:w="580"/>
        <w:gridCol w:w="580"/>
        <w:gridCol w:w="584"/>
        <w:gridCol w:w="60"/>
        <w:gridCol w:w="60"/>
      </w:tblGrid>
      <w:tr>
        <w:trPr/>
        <w:tc>
          <w:tcPr>
            <w:tcW w:w="60"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485" w:type="dxa"/>
            <w:gridSpan w:val="3"/>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942975" cy="1219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942975" cy="1219200"/>
                          </a:xfrm>
                          <a:prstGeom prst="rect">
                            <a:avLst/>
                          </a:prstGeom>
                        </pic:spPr>
                      </pic:pic>
                    </a:graphicData>
                  </a:graphic>
                </wp:inline>
              </w:drawing>
            </w:r>
          </w:p>
        </w:tc>
        <w:tc>
          <w:tcPr>
            <w:tcW w:w="1744" w:type="dxa"/>
            <w:gridSpan w:val="3"/>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One Financial Center</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Boston, MA 02111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617 542 6000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mintz.com</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6,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 Park Plaza, Suite 424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MA 02116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CervoMed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in connection with the issuance of this opinion that relates to a Registration Statement on Form S-3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filed by the Company with the United States Securities and Exchange Commission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The Registration Statement covers the resale, by the selling shareholders listed therein, from time to time pursuant to Rule 415 under the Securities Act as set forth in the Registration Statement, of an aggregate of 10,081,131 shares (the “</w:t>
      </w:r>
      <w:r>
        <w:rPr>
          <w:rFonts w:ascii="Times New Roman" w:hAnsi="Times New Roman"/>
          <w:caps w:val="false"/>
          <w:smallCaps w:val="false"/>
          <w:sz w:val="20"/>
          <w:u w:val="single"/>
        </w:rPr>
        <w:t>Shares</w:t>
      </w:r>
      <w:r>
        <w:rPr>
          <w:rFonts w:ascii="Times New Roman" w:hAnsi="Times New Roman"/>
          <w:caps w:val="false"/>
          <w:smallCaps w:val="false"/>
          <w:sz w:val="20"/>
        </w:rPr>
        <w:t>”) of the Company’s common stock, par value $0.001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which consist of (i) 1,767,514 shares of Common Stock (the “</w:t>
      </w:r>
      <w:r>
        <w:rPr>
          <w:rFonts w:ascii="Times New Roman" w:hAnsi="Times New Roman"/>
          <w:caps w:val="false"/>
          <w:smallCaps w:val="false"/>
          <w:sz w:val="20"/>
          <w:u w:val="single"/>
        </w:rPr>
        <w:t>PIPE Shares</w:t>
      </w:r>
      <w:r>
        <w:rPr>
          <w:rFonts w:ascii="Times New Roman" w:hAnsi="Times New Roman"/>
          <w:caps w:val="false"/>
          <w:smallCaps w:val="false"/>
          <w:sz w:val="20"/>
        </w:rPr>
        <w:t>”) delivered to the selling shareholders pursuant to the Agreement (as defined below), (ii) 1,592,863 shares of Common Stock issuable upon the exercise of pre-funded warrants (the “</w:t>
      </w:r>
      <w:r>
        <w:rPr>
          <w:rFonts w:ascii="Times New Roman" w:hAnsi="Times New Roman"/>
          <w:caps w:val="false"/>
          <w:smallCaps w:val="false"/>
          <w:sz w:val="20"/>
          <w:u w:val="single"/>
        </w:rPr>
        <w:t>Pre-Funded Warrants</w:t>
      </w:r>
      <w:r>
        <w:rPr>
          <w:rFonts w:ascii="Times New Roman" w:hAnsi="Times New Roman"/>
          <w:caps w:val="false"/>
          <w:smallCaps w:val="false"/>
          <w:sz w:val="20"/>
        </w:rPr>
        <w:t>”) to purchase shares of Common Stock held by a selling stockholder (the “</w:t>
      </w:r>
      <w:r>
        <w:rPr>
          <w:rFonts w:ascii="Times New Roman" w:hAnsi="Times New Roman"/>
          <w:caps w:val="false"/>
          <w:smallCaps w:val="false"/>
          <w:sz w:val="20"/>
          <w:u w:val="single"/>
        </w:rPr>
        <w:t>Pre-Funded Warrant Shares</w:t>
      </w:r>
      <w:r>
        <w:rPr>
          <w:rFonts w:ascii="Times New Roman" w:hAnsi="Times New Roman"/>
          <w:caps w:val="false"/>
          <w:smallCaps w:val="false"/>
          <w:sz w:val="20"/>
        </w:rPr>
        <w:t>”), and (iii) 3,360,377 shares of Common Stock issuable upon the exercise of outstanding Series B warrants (the “</w:t>
      </w:r>
      <w:r>
        <w:rPr>
          <w:rFonts w:ascii="Times New Roman" w:hAnsi="Times New Roman"/>
          <w:caps w:val="false"/>
          <w:smallCaps w:val="false"/>
          <w:sz w:val="20"/>
          <w:u w:val="single"/>
        </w:rPr>
        <w:t>Series B Warrants</w:t>
      </w:r>
      <w:r>
        <w:rPr>
          <w:rFonts w:ascii="Times New Roman" w:hAnsi="Times New Roman"/>
          <w:caps w:val="false"/>
          <w:smallCaps w:val="false"/>
          <w:sz w:val="20"/>
        </w:rPr>
        <w:t>”) to purchase shares of Common Stock held by the selling stockholders (the “</w:t>
      </w:r>
      <w:r>
        <w:rPr>
          <w:rFonts w:ascii="Times New Roman" w:hAnsi="Times New Roman"/>
          <w:caps w:val="false"/>
          <w:smallCaps w:val="false"/>
          <w:sz w:val="20"/>
          <w:u w:val="single"/>
        </w:rPr>
        <w:t>Series B Warrant Shares</w:t>
      </w:r>
      <w:r>
        <w:rPr>
          <w:rFonts w:ascii="Times New Roman" w:hAnsi="Times New Roman"/>
          <w:caps w:val="false"/>
          <w:smallCaps w:val="false"/>
          <w:sz w:val="20"/>
        </w:rPr>
        <w:t>”</w:t>
      </w:r>
      <w:r>
        <w:rPr>
          <w:rFonts w:ascii="Times New Roman" w:hAnsi="Times New Roman"/>
          <w:caps w:val="false"/>
          <w:smallCaps w:val="false"/>
          <w:sz w:val="20"/>
          <w:u w:val="single"/>
        </w:rPr>
        <w:t>)</w:t>
      </w:r>
      <w:r>
        <w:rPr>
          <w:rFonts w:ascii="Times New Roman" w:hAnsi="Times New Roman"/>
          <w:caps w:val="false"/>
          <w:smallCaps w:val="false"/>
          <w:sz w:val="20"/>
        </w:rPr>
        <w:t>, and (iv) 3,360,377 shares of Common Stock issuable upon the exercise of outstanding Series C warrants (the “</w:t>
      </w:r>
      <w:r>
        <w:rPr>
          <w:rFonts w:ascii="Times New Roman" w:hAnsi="Times New Roman"/>
          <w:caps w:val="false"/>
          <w:smallCaps w:val="false"/>
          <w:sz w:val="20"/>
          <w:u w:val="single"/>
        </w:rPr>
        <w:t>Series C Warrants</w:t>
      </w:r>
      <w:r>
        <w:rPr>
          <w:rFonts w:ascii="Times New Roman" w:hAnsi="Times New Roman"/>
          <w:caps w:val="false"/>
          <w:smallCaps w:val="false"/>
          <w:sz w:val="20"/>
        </w:rPr>
        <w:t>,” and collectively with the Pre-Funded Warrants and Series B Warrants, the “</w:t>
      </w:r>
      <w:r>
        <w:rPr>
          <w:rFonts w:ascii="Times New Roman" w:hAnsi="Times New Roman"/>
          <w:caps w:val="false"/>
          <w:smallCaps w:val="false"/>
          <w:sz w:val="20"/>
          <w:u w:val="single"/>
        </w:rPr>
        <w:t>Warrants</w:t>
      </w:r>
      <w:r>
        <w:rPr>
          <w:rFonts w:ascii="Times New Roman" w:hAnsi="Times New Roman"/>
          <w:caps w:val="false"/>
          <w:smallCaps w:val="false"/>
          <w:sz w:val="20"/>
        </w:rPr>
        <w:t>”) to purchase shares of Common Stock held by the selling stockholders (the “</w:t>
      </w:r>
      <w:r>
        <w:rPr>
          <w:rFonts w:ascii="Times New Roman" w:hAnsi="Times New Roman"/>
          <w:caps w:val="false"/>
          <w:smallCaps w:val="false"/>
          <w:sz w:val="20"/>
          <w:u w:val="single"/>
        </w:rPr>
        <w:t>Series B Warrant Shares</w:t>
      </w:r>
      <w:r>
        <w:rPr>
          <w:rFonts w:ascii="Times New Roman" w:hAnsi="Times New Roman"/>
          <w:caps w:val="false"/>
          <w:smallCaps w:val="false"/>
          <w:sz w:val="20"/>
        </w:rPr>
        <w:t>,” and collectively with the Pre-Funded Warrant Shares and Series B Warrant Shares, the “Warrant Shares”), pursuant to the Securities Purchase Agreement by and between the Company and the purchasers identified as parties thereto, dated as of June 9, 2026 (the “</w:t>
      </w:r>
      <w:r>
        <w:rPr>
          <w:rFonts w:ascii="Times New Roman" w:hAnsi="Times New Roman"/>
          <w:caps w:val="false"/>
          <w:smallCaps w:val="false"/>
          <w:sz w:val="20"/>
          <w:u w:val="single"/>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issuance of this opinion letter, we have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As to any facts relevant to the opinions stated herein that we did not independently establish or verify, we have relied upon statements and representations of officers and other representatives of the Company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our examination, we have assumed (a) the genuineness of all signatures, including endorsements, (b) the legal capacity and competency of all natural persons, (c) the authenticity of all documents submitted to us as originals, (d) the conformity to original documents of all documents submitted to us as facsimile, electronic, certified or photostatic copies, and the authenticity of the originals of such copies; and (e) the accuracy, completeness and authenticity of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upon the foregoing and subject to the qualifications and assumptions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The PIPE Shares have been duly authorized by all requisite corporate action on the part of the Company under the General Corporation Law of the State of Delaware (the “</w:t>
      </w:r>
      <w:r>
        <w:rPr>
          <w:rFonts w:ascii="Times New Roman" w:hAnsi="Times New Roman"/>
          <w:caps w:val="false"/>
          <w:smallCaps w:val="false"/>
          <w:sz w:val="20"/>
          <w:u w:val="single"/>
        </w:rPr>
        <w:t>DGCL</w:t>
      </w:r>
      <w:r>
        <w:rPr>
          <w:rFonts w:ascii="Times New Roman" w:hAnsi="Times New Roman"/>
          <w:caps w:val="false"/>
          <w:smallCaps w:val="false"/>
          <w:sz w:val="20"/>
        </w:rPr>
        <w:t>”)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The Warrant Shares have been duly authorized by all requisite corporate action on the part of the Company under the DGCL and, when the Warrant Shares are delivered and paid for in accordance with the terms of the Warrants and when evidence of the issuance thereof is duly recorded in the Company’s books and records, the Warrant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opinion is expressly limited to the matters set forth above, and we render no opinion, whether by implication or otherwise, as to any other matters relating to the Company, the PIPE Shares, the Warrants, the Warrant Shares, the Agreement or any other agreements or transactions that may be related thereto or contemplated thereby. We are expressing no opinion as to any obligations that parties other than the Company may have under or in respect of the PIPE Shares or the Warrant Shares, or as to the effect that their performance of such obligations may have upon any of the matters referred to above. No opinion may be implied or inferred beyond the opinion expressly stated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opinion is limited to the DGCL and we express no opinion with respect to the laws of any other jurisdiction. No opinion is expressed herein with respect to the qualification of the PIPE Shares, the Warrants or the Warrant Shares under the securities or blue sky laws of any state or any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and we hereby consent thereto.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60"/>
        <w:gridCol w:w="4265"/>
      </w:tblGrid>
      <w:tr>
        <w:trPr/>
        <w:tc>
          <w:tcPr>
            <w:tcW w:w="60" w:type="dxa"/>
            <w:tcBorders/>
            <w:vAlign w:val="center"/>
          </w:tcPr>
          <w:p>
            <w:pPr>
              <w:pStyle w:val="TableContents"/>
              <w:bidi w:val="0"/>
              <w:spacing w:before="0" w:after="0"/>
              <w:ind w:left="0" w:right="0" w:hanging="0"/>
              <w:jc w:val="left"/>
              <w:rPr/>
            </w:pPr>
            <w:r>
              <w:rPr/>
              <w:t> </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Mintz Levin Cohn Ferris Glovsky and Popeo, 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5" w:name="ex_984157.htm"/>
      <w:bookmarkStart w:id="6" w:name="ksex_984157"/>
      <w:bookmarkEnd w:id="5"/>
      <w:bookmarkEnd w:id="6"/>
      <w:r>
        <w:rPr>
          <w:rFonts w:ascii="Times New Roman;Times;serif" w:hAnsi="Times New Roman;Times;serif"/>
          <w:b/>
          <w:sz w:val="20"/>
        </w:rPr>
        <w:t>Exhibit 23.1</w:t>
      </w:r>
      <w:r>
        <w:rPr>
          <w:rFonts w:ascii="Times New Roman;Times;serif" w:hAnsi="Times New Roman;Times;serif"/>
          <w:sz w:val="20"/>
        </w:rPr>
        <w:t xml:space="preserve"> </w:t>
      </w:r>
      <w:r>
        <w:br w:type="page"/>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b/>
          <w:caps w:val="false"/>
          <w:smallCaps w:val="false"/>
          <w:sz w:val="20"/>
        </w:rPr>
        <w:t>Consent of Independent Registered Public Accounting Firm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this Registration Statement on Form S-3 and related prospectus of CervoMed Inc. of our report dated March 13, 2026, relating to the consolidated financial statements of CervoMed Inc. and its subsidiaries, appearing in the Annual Report on Form 10-K of CervoMed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consent to the reference to our firm under the heading "Experts"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_984158.htm"/>
      <w:bookmarkStart w:id="8" w:name="ksex_984158"/>
      <w:bookmarkStart w:id="9" w:name="ex_984158.htm"/>
      <w:bookmarkStart w:id="10" w:name="ksex_984158"/>
      <w:bookmarkEnd w:id="9"/>
      <w:bookmarkEnd w:id="10"/>
      <w:r>
        <w:br w:type="page"/>
      </w:r>
    </w:p>
    <w:tbl>
      <w:tblPr>
        <w:tblW w:w="3559" w:type="dxa"/>
        <w:jc w:val="left"/>
        <w:tblInd w:w="0" w:type="dxa"/>
        <w:tblLayout w:type="fixed"/>
        <w:tblCellMar>
          <w:top w:w="28" w:type="dxa"/>
          <w:left w:w="28" w:type="dxa"/>
          <w:bottom w:w="28" w:type="dxa"/>
          <w:right w:w="28" w:type="dxa"/>
        </w:tblCellMar>
      </w:tblPr>
      <w:tblGrid>
        <w:gridCol w:w="3405"/>
        <w:gridCol w:w="154"/>
      </w:tblGrid>
      <w:tr>
        <w:trPr/>
        <w:tc>
          <w:tcPr>
            <w:tcW w:w="355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 xml:space="preserve">CervoMed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10,081,131 </w:t>
            </w:r>
          </w:p>
        </w:tc>
        <w:tc>
          <w:tcPr>
            <w:tcW w:w="1156" w:type="dxa"/>
            <w:tcBorders/>
            <w:shd w:fill="E7E7E2" w:val="clear"/>
            <w:vAlign w:val="center"/>
          </w:tcPr>
          <w:p>
            <w:pPr>
              <w:pStyle w:val="TableContents"/>
              <w:bidi w:val="0"/>
              <w:spacing w:before="0" w:after="283"/>
              <w:jc w:val="right"/>
              <w:rPr/>
            </w:pPr>
            <w:r>
              <w:rPr/>
              <w:t xml:space="preserve">$ 3.195 </w:t>
            </w:r>
          </w:p>
        </w:tc>
        <w:tc>
          <w:tcPr>
            <w:tcW w:w="1666" w:type="dxa"/>
            <w:tcBorders/>
            <w:shd w:fill="E7E7E2" w:val="clear"/>
            <w:vAlign w:val="center"/>
          </w:tcPr>
          <w:p>
            <w:pPr>
              <w:pStyle w:val="TableContents"/>
              <w:bidi w:val="0"/>
              <w:spacing w:before="0" w:after="283"/>
              <w:jc w:val="right"/>
              <w:rPr/>
            </w:pPr>
            <w:r>
              <w:rPr/>
              <w:t xml:space="preserve">$ 32,209,213.54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$ 4,448.09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$ 32,209,213.54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$ 4,448.09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PreviouslyPaid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TotalOffsetAmt"/>
            <w:bookmarkEnd w:id="1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5" w:name="NetFeeAmt"/>
            <w:bookmarkEnd w:id="15"/>
            <w:r>
              <w:rPr/>
              <w:t xml:space="preserve">$ 4,448.09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The amount registered consists of up to an aggregate of 10,081,131 shares of common stock, par value $0.001 per share (the "common stock"), of CervoMed Inc. to be offered by the selling stockholders named in the Registration Statement, consisting of: (i) 1,767,514 shares of common stock, (ii) 1,592,863 shares of common stock issuable upon the exercise of pre-funded warrants, (iii) 3,360,377 shares of common stock issuable upon the exercise of Series B warrants, and (iv) 3,360,377 shares of common stock issuable upon the exercise of Series C warrants, in each case issued in a private placement that closed on June 11, 2026. Pursuant to Rule 416 under the Securities Act of 1933, as amended (the "Securities Act"), the Registration Statement also covers such an indeterminate amount of shares of common stock as may become issuable to prevent dilution resulting from stock splits, stock dividends and similar events. (2) The proposed maximum offering price per share is estimated solely for purposes of calculating the registration fee according to Rule 457(c) under the Securities Act based on the average of the high and low prices of the registrant's common stock quoted on the Nasdaq Capital Market on June 30,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ix?doc=/Archives/edgar/data/0001053691/000143774926008259/crvo20251231_10k.htm" TargetMode="External"/><Relationship Id="rId5" Type="http://schemas.openxmlformats.org/officeDocument/2006/relationships/hyperlink" Target="http://www.sec.gov/ix?doc=/Archives/edgar/data/0001053691/000143774926017236/crvo20260331c_10q.htm" TargetMode="External"/><Relationship Id="rId6" Type="http://schemas.openxmlformats.org/officeDocument/2006/relationships/hyperlink" Target="http://www.sec.gov/ix?doc=/Archives/edgar/data/0001053691/000143774926014032/crvo20260428_def14a.htm" TargetMode="External"/><Relationship Id="rId7" Type="http://schemas.openxmlformats.org/officeDocument/2006/relationships/hyperlink" Target="http://www.sec.gov/ix?doc=/Archives/edgar/data/0001053691/000143774926004555/crvo20260218_8k.htm" TargetMode="External"/><Relationship Id="rId8" Type="http://schemas.openxmlformats.org/officeDocument/2006/relationships/hyperlink" Target="http://www.sec.gov/ix?doc=/Archives/edgar/data/0001053691/000143774926006911/crvo20260304_8k.htm" TargetMode="External"/><Relationship Id="rId9" Type="http://schemas.openxmlformats.org/officeDocument/2006/relationships/hyperlink" Target="http://www.sec.gov/ix?doc=/Archives/edgar/data/0001053691/000143774926009081/crvo20260319_8k.htm" TargetMode="External"/><Relationship Id="rId10" Type="http://schemas.openxmlformats.org/officeDocument/2006/relationships/hyperlink" Target="http://www.sec.gov/ix?doc=/Archives/edgar/data/0001053691/000143774926013037/crvo20260422_8k.htm" TargetMode="External"/><Relationship Id="rId11" Type="http://schemas.openxmlformats.org/officeDocument/2006/relationships/hyperlink" Target="http://www.sec.gov/ix?doc=/Archives/edgar/data/0001053691/000143774926019909/crvo20260609_8k.htm" TargetMode="External"/><Relationship Id="rId12" Type="http://schemas.openxmlformats.org/officeDocument/2006/relationships/hyperlink" Target="http://www.sec.gov/ix?doc=/Archives/edgar/data/0001053691/000143774926020080/crvo20260610_8k.htm" TargetMode="External"/><Relationship Id="rId13" Type="http://schemas.openxmlformats.org/officeDocument/2006/relationships/hyperlink" Target="http://www.sec.gov/ix?doc=/Archives/edgar/data/0001053691/000143774926021038/crvo20260618c_8k.htm" TargetMode="External"/><Relationship Id="rId14" Type="http://schemas.openxmlformats.org/officeDocument/2006/relationships/hyperlink" Target="http://www.sec.gov/ix?doc=/Archives/edgar/data/0001053691/000143774926021208/crvo20260618_8k.htm" TargetMode="External"/><Relationship Id="rId15" Type="http://schemas.openxmlformats.org/officeDocument/2006/relationships/hyperlink" Target="http://www.sec.gov/ix?doc=/Archives/edgar/data/0001053691/000143774926021309/crvo20260622_8k.htm" TargetMode="External"/><Relationship Id="rId16" Type="http://schemas.openxmlformats.org/officeDocument/2006/relationships/hyperlink" Target="http://www.sec.gov/Archives/edgar/data/1053691/000143774924010064/ex_643086.htm" TargetMode="External"/><Relationship Id="rId17" Type="http://schemas.openxmlformats.org/officeDocument/2006/relationships/image" Target="media/image1.jpeg"/><Relationship Id="rId18" Type="http://schemas.openxmlformats.org/officeDocument/2006/relationships/hyperlink" Target="http://www.sec.gov/Archives/edgar/data/1053691/000143774923007795/ex_488532.htm" TargetMode="External"/><Relationship Id="rId19" Type="http://schemas.openxmlformats.org/officeDocument/2006/relationships/hyperlink" Target="http://www.sec.gov/Archives/edgar/data/1053691/000143774923024064/ex_561998.htm" TargetMode="External"/><Relationship Id="rId20" Type="http://schemas.openxmlformats.org/officeDocument/2006/relationships/hyperlink" Target="http://www.sec.gov/Archives/edgar/data/1053691/000143774923024064/ex_561999.htm" TargetMode="External"/><Relationship Id="rId21" Type="http://schemas.openxmlformats.org/officeDocument/2006/relationships/hyperlink" Target="http://www.sec.gov/Archives/edgar/data/1053691/000143774923024064/ex_562000.htm" TargetMode="External"/><Relationship Id="rId22" Type="http://schemas.openxmlformats.org/officeDocument/2006/relationships/hyperlink" Target="http://www.sec.gov/Archives/edgar/data/1053691/000143774926020080/ex_974985.htm" TargetMode="External"/><Relationship Id="rId23" Type="http://schemas.openxmlformats.org/officeDocument/2006/relationships/hyperlink" Target="http://www.sec.gov/Archives/edgar/data/1053691/000143774926020080/ex_974986.htm" TargetMode="External"/><Relationship Id="rId24" Type="http://schemas.openxmlformats.org/officeDocument/2006/relationships/hyperlink" Target="http://www.sec.gov/Archives/edgar/data/1053691/000143774926020080/ex_974987.htm" TargetMode="External"/><Relationship Id="rId25" Type="http://schemas.openxmlformats.org/officeDocument/2006/relationships/hyperlink" Target="http://www.sec.gov/Archives/edgar/data/1053691/000143774924010064/ex_643173.htm" TargetMode="External"/><Relationship Id="rId26" Type="http://schemas.openxmlformats.org/officeDocument/2006/relationships/hyperlink" Target="http://www.sec.gov/Archives/edgar/data/1053691/000143774926020080/ex_974988.htm" TargetMode="External"/><Relationship Id="rId27" Type="http://schemas.openxmlformats.org/officeDocument/2006/relationships/image" Target="media/image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13473</Words>
  <Characters>71753</Characters>
  <CharactersWithSpaces>85404</CharactersWithSpaces>
  <Paragraphs>1142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