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709_8k.htm"/>
      <w:bookmarkStart w:id="1" w:name="kscrvo20260709_8k"/>
      <w:bookmarkStart w:id="2" w:name="crvo20260709_8k.htm"/>
      <w:bookmarkStart w:id="3" w:name="kscrvo20260709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July 9,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Identification No.)</w:t>
            </w:r>
            <w:r>
              <w:rPr>
                <w:rFonts w:ascii="Times New Roman" w:hAnsi="Times New Roman"/>
                <w:caps w:val="false"/>
                <w:smallCaps w:val="false"/>
                <w:sz w:val="20"/>
              </w:rPr>
              <w:t>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 Park Plaza,</w:t>
            </w:r>
            <w:r>
              <w:rPr>
                <w:rFonts w:ascii="Times New Roman" w:hAnsi="Times New Roman"/>
                <w:caps w:val="false"/>
                <w:smallCaps w:val="false"/>
                <w:sz w:val="20"/>
              </w:rPr>
              <w:t> </w:t>
            </w:r>
            <w:r>
              <w:rPr>
                <w:rFonts w:ascii="Times New Roman" w:hAnsi="Times New Roman"/>
                <w:b/>
                <w:caps w:val="false"/>
                <w:smallCaps w:val="false"/>
                <w:sz w:val="20"/>
              </w:rPr>
              <w:t>Suite 424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Boston,</w:t>
            </w:r>
            <w:r>
              <w:rPr>
                <w:rFonts w:ascii="Times New Roman" w:hAnsi="Times New Roman"/>
                <w:caps w:val="false"/>
                <w:smallCaps w:val="false"/>
                <w:sz w:val="20"/>
              </w:rPr>
              <w:t> </w:t>
            </w:r>
            <w:r>
              <w:rPr>
                <w:rFonts w:ascii="Times New Roman" w:hAnsi="Times New Roman"/>
                <w:b/>
                <w:caps w:val="false"/>
                <w:smallCaps w:val="false"/>
                <w:sz w:val="20"/>
              </w:rPr>
              <w:t>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w:t>
      </w:r>
      <w:r>
        <w:rPr>
          <w:rFonts w:ascii="Times New Roman" w:hAnsi="Times New Roman"/>
          <w:caps w:val="false"/>
          <w:smallCaps w:val="false"/>
          <w:sz w:val="20"/>
        </w:rPr>
        <w:t> </w:t>
      </w:r>
      <w:r>
        <w:rPr>
          <w:rFonts w:ascii="Times New Roman" w:hAnsi="Times New Roman"/>
          <w:b/>
          <w:caps w:val="false"/>
          <w:smallCaps w:val="false"/>
          <w:sz w:val="20"/>
        </w:rPr>
        <w:t>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of each class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Symbol(s)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on which registered</w:t>
            </w:r>
            <w:r>
              <w:rPr>
                <w:rFonts w:ascii="Times New Roman" w:hAnsi="Times New Roman"/>
                <w:caps w:val="false"/>
                <w:smallCaps w:val="false"/>
                <w:sz w:val="20"/>
              </w:rPr>
              <w:t>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9, 2026, CervoMed Inc. (the “Company”) issued a press release announcing it has completed enrollment in the Company’s Phase 2a study of neflamapimod for the treatment of nonfluent variant primary progressive aphasia, a type of frontotemporal dementia (“FTD”).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in the first and third paragraphs of, and under the headings “Recent Nature Neuroscience publication supports inhibition of p38α as potential therapeutic approach in FTD,” and “Interim results from the Phase 2a clinical trial to be presented at CTAD” in, the Company’s press release issued on July 9, 2026,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986455.htm">
              <w:r>
                <w:rPr>
                  <w:rStyle w:val="InternetLink"/>
                  <w:rFonts w:ascii="Times New Roman" w:hAnsi="Times New Roman"/>
                  <w:caps w:val="false"/>
                  <w:smallCaps w:val="false"/>
                  <w:sz w:val="20"/>
                </w:rPr>
                <w:t>Press Release, issued July 9,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1910"/>
        <w:gridCol w:w="545"/>
        <w:gridCol w:w="3470"/>
        <w:gridCol w:w="6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9, 2026         </w:t>
            </w:r>
          </w:p>
        </w:tc>
        <w:tc>
          <w:tcPr>
            <w:tcW w:w="401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986455.htm"/>
      <w:bookmarkStart w:id="5" w:name="ksex_986455"/>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Announces Completion of Enrollment in Phase 2 Study of Neflamapimod for Nonfluent Variant</w:t>
      </w:r>
      <w:r>
        <w:rPr>
          <w:rFonts w:ascii="Times New Roman" w:hAnsi="Times New Roman"/>
          <w:caps w:val="false"/>
          <w:smallCaps w:val="false"/>
          <w:sz w:val="20"/>
        </w:rPr>
        <w:t xml:space="preserve"> </w:t>
      </w:r>
      <w:r>
        <w:rPr>
          <w:rFonts w:ascii="Times New Roman" w:hAnsi="Times New Roman"/>
          <w:b/>
          <w:caps w:val="false"/>
          <w:smallCaps w:val="false"/>
          <w:sz w:val="20"/>
        </w:rPr>
        <w:t>Primary Progressive Aphasia, a Type of Frontotemporal Dementia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Interim biomarker data accepted for presentation at the 19</w:t>
      </w:r>
      <w:r>
        <w:rPr>
          <w:rFonts w:ascii="Times New Roman" w:hAnsi="Times New Roman"/>
          <w:i/>
          <w:caps w:val="false"/>
          <w:smallCaps w:val="false"/>
          <w:position w:val="7"/>
          <w:sz w:val="16"/>
          <w:sz w:val="20"/>
        </w:rPr>
        <w:t>th</w:t>
      </w:r>
      <w:r>
        <w:rPr>
          <w:rFonts w:ascii="Times New Roman" w:hAnsi="Times New Roman"/>
          <w:i/>
          <w:caps w:val="false"/>
          <w:smallCaps w:val="false"/>
          <w:sz w:val="20"/>
        </w:rPr>
        <w:t xml:space="preserve"> Clinical Trials on Alzheimer's Disease (CTAD) conference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Recent peer-reviewed data published in </w:t>
      </w:r>
      <w:r>
        <w:rPr>
          <w:rFonts w:ascii="Times New Roman" w:hAnsi="Times New Roman"/>
          <w:caps w:val="false"/>
          <w:smallCaps w:val="false"/>
          <w:sz w:val="20"/>
        </w:rPr>
        <w:t xml:space="preserve">Nature Neuroscience </w:t>
      </w:r>
      <w:r>
        <w:rPr>
          <w:rFonts w:ascii="Times New Roman" w:hAnsi="Times New Roman"/>
          <w:i/>
          <w:caps w:val="false"/>
          <w:smallCaps w:val="false"/>
          <w:sz w:val="20"/>
        </w:rPr>
        <w:t>demonstrate relevance of p38</w:t>
      </w:r>
      <w:r>
        <w:rPr>
          <w:rFonts w:ascii="Times New Roman" w:hAnsi="Times New Roman"/>
          <w:caps w:val="false"/>
          <w:smallCaps w:val="false"/>
          <w:sz w:val="20"/>
        </w:rPr>
        <w:t xml:space="preserve">α </w:t>
      </w:r>
      <w:r>
        <w:rPr>
          <w:rFonts w:ascii="Times New Roman" w:hAnsi="Times New Roman"/>
          <w:i/>
          <w:caps w:val="false"/>
          <w:smallCaps w:val="false"/>
          <w:sz w:val="20"/>
        </w:rPr>
        <w:t>as a therapeutic target and support neflamapimod's potential to treat frontotemporal dementia (FTD) driven by tau pathology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Nonfluent variant primary progressive aphasia (nfvPPA), the type of FTD most commonly associated with tau pathology, has no approved treatments in the United States or European Union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July 9, 2026</w:t>
      </w:r>
      <w:r>
        <w:rPr>
          <w:rFonts w:ascii="Times New Roman" w:hAnsi="Times New Roman"/>
          <w:caps w:val="false"/>
          <w:smallCaps w:val="false"/>
          <w:sz w:val="20"/>
        </w:rPr>
        <w:t xml:space="preserve"> — CervoMed Inc. (NASDAQ: CRVO), a clinical-stage biotechnology company developing treatments for age-related brain disorders (CervoMed or the Company), today announced that it has completed enrollment in the Phase 2a study of neflamapimod for the treatment of nfvPPA, a type of FTD</w:t>
      </w:r>
      <w:r>
        <w:rPr>
          <w:rFonts w:ascii="Times New Roman" w:hAnsi="Times New Roman"/>
          <w:i/>
          <w:caps w:val="false"/>
          <w:smallCaps w:val="false"/>
          <w:sz w:val="20"/>
        </w:rPr>
        <w:t>.</w:t>
      </w:r>
      <w:r>
        <w:rPr>
          <w:rFonts w:ascii="Times New Roman" w:hAnsi="Times New Roman"/>
          <w:caps w:val="false"/>
          <w:smallCaps w:val="false"/>
          <w:sz w:val="20"/>
        </w:rPr>
        <w:t xml:space="preserve"> Interim biomarker data from the study will be presented at the 19</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CTAD Conference in Boston, Massachusetts, taking place November 16–19,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rapid enrollment of this trial reflects the belief of the FTD academic medical community in the potential of neflamapimod to address this disease and the critical need for treatments for nfvPPA," said Dr. John A. Alam, Chief Executive Officer of CervoMed. "Recently published preclinical data help elucidate the mechanisms behind FTD that are driven by tau pathology and demonstrate the potential of neflamapimod to reverse the neuronal deficits associated with forms of tau-related FTD, such as nfvPPA, via the inhibition of p38α. We look forward to sharing the first biomarker data with neflamapimod in patients with nfvPPA early in the fourth quarter of 2026 and the first clinical data in the first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Phase 2a study was designed to evaluate the safety, pharmacokinetics, and clinical effects of neflamapimod in participants with nfvPPA. The trial enrolled 25 participants, taking oral neflamapimod (40 milligram TID [n = 19] or 80 milligram BID [n = 6]) for 24 weeks, followed by a 12-week, randomized, double-blind placebo-controlled extension. The study is being conducted at leading academic centers in the U.S.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Recent </w:t>
      </w:r>
      <w:r>
        <w:rPr>
          <w:rFonts w:ascii="Times New Roman" w:hAnsi="Times New Roman"/>
          <w:b/>
          <w:i/>
          <w:caps w:val="false"/>
          <w:smallCaps w:val="false"/>
          <w:sz w:val="20"/>
        </w:rPr>
        <w:t>Nature Neuroscience</w:t>
      </w:r>
      <w:r>
        <w:rPr>
          <w:rFonts w:ascii="Times New Roman" w:hAnsi="Times New Roman"/>
          <w:caps w:val="false"/>
          <w:smallCaps w:val="false"/>
          <w:sz w:val="20"/>
        </w:rPr>
        <w:t xml:space="preserve"> </w:t>
      </w:r>
      <w:r>
        <w:rPr>
          <w:rFonts w:ascii="Times New Roman" w:hAnsi="Times New Roman"/>
          <w:b/>
          <w:caps w:val="false"/>
          <w:smallCaps w:val="false"/>
          <w:sz w:val="20"/>
        </w:rPr>
        <w:t>publication supports inhibition of p38</w:t>
      </w:r>
      <w:r>
        <w:rPr>
          <w:rFonts w:ascii="Times New Roman" w:hAnsi="Times New Roman"/>
          <w:caps w:val="false"/>
          <w:smallCaps w:val="false"/>
          <w:sz w:val="20"/>
        </w:rPr>
        <w:t xml:space="preserve">α </w:t>
      </w:r>
      <w:r>
        <w:rPr>
          <w:rFonts w:ascii="Times New Roman" w:hAnsi="Times New Roman"/>
          <w:b/>
          <w:caps w:val="false"/>
          <w:smallCaps w:val="false"/>
          <w:sz w:val="20"/>
        </w:rPr>
        <w:t>as potential therapeutic approach in FTD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recent preclinical study published in </w:t>
      </w:r>
      <w:r>
        <w:rPr>
          <w:rFonts w:ascii="Times New Roman" w:hAnsi="Times New Roman"/>
          <w:i/>
          <w:caps w:val="false"/>
          <w:smallCaps w:val="false"/>
          <w:sz w:val="20"/>
        </w:rPr>
        <w:t>Nature Neuroscience</w:t>
      </w:r>
      <w:r>
        <w:rPr>
          <w:rFonts w:ascii="Times New Roman" w:hAnsi="Times New Roman"/>
          <w:caps w:val="false"/>
          <w:smallCaps w:val="false"/>
          <w:sz w:val="20"/>
        </w:rPr>
        <w:t xml:space="preserve"> </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demonstrated that axonal transport dysfunction occurs in the early stages of genetic forms of FTD where the primary mutation is in the microtubule-associated protein tau, leading to the abnormal build-up of misfolded tau proteins in the brain that is the pathologic driver in approximately half of patients with FTD. Axonal transport is critical for nerve development, function, and 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establishing that p38α inhibition reduced axonal transport deficits in transgenic mice harboring tau mutations associated with human disease (FTD-Tau), the authors used neflamapimod, a known pharmacological inhibitor of p38α, to test whether it could reproduce the effect. Imaging the mice before and after treatment, they found that sustained inhibition improved axonal transport and reversed the underlying deficits, strengthening the link between p38α and the mechanism of tau pathology.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Moretto, E., Masato, A., Panzi, C. </w:t>
      </w:r>
      <w:r>
        <w:rPr>
          <w:rFonts w:ascii="Times New Roman" w:hAnsi="Times New Roman"/>
          <w:i/>
          <w:caps w:val="false"/>
          <w:smallCaps w:val="false"/>
          <w:sz w:val="20"/>
        </w:rPr>
        <w:t>et al.</w:t>
      </w:r>
      <w:r>
        <w:rPr>
          <w:rFonts w:ascii="Times New Roman" w:hAnsi="Times New Roman"/>
          <w:caps w:val="false"/>
          <w:smallCaps w:val="false"/>
          <w:sz w:val="20"/>
        </w:rPr>
        <w:t xml:space="preserve"> Aberrant tau accumulation caused by </w:t>
      </w:r>
      <w:r>
        <w:rPr>
          <w:rFonts w:ascii="Times New Roman" w:hAnsi="Times New Roman"/>
          <w:i/>
          <w:caps w:val="false"/>
          <w:smallCaps w:val="false"/>
          <w:sz w:val="20"/>
        </w:rPr>
        <w:t>MAPT</w:t>
      </w:r>
      <w:r>
        <w:rPr>
          <w:rFonts w:ascii="Times New Roman" w:hAnsi="Times New Roman"/>
          <w:caps w:val="false"/>
          <w:smallCaps w:val="false"/>
          <w:sz w:val="20"/>
        </w:rPr>
        <w:t xml:space="preserve"> mutations induces early pathological changes in axonal transport that are rescued by p38α inhibition. </w:t>
      </w:r>
      <w:r>
        <w:rPr>
          <w:rFonts w:ascii="Times New Roman" w:hAnsi="Times New Roman"/>
          <w:i/>
          <w:caps w:val="false"/>
          <w:smallCaps w:val="false"/>
          <w:sz w:val="20"/>
        </w:rPr>
        <w:t>Nat Neurosci</w:t>
      </w:r>
      <w:r>
        <w:rPr>
          <w:rFonts w:ascii="Times New Roman" w:hAnsi="Times New Roman"/>
          <w:caps w:val="false"/>
          <w:smallCaps w:val="false"/>
          <w:sz w:val="20"/>
        </w:rPr>
        <w:t xml:space="preserve"> 29, 1355–1368 (2026). https://doi.org/10.1038/s41593-026-02266-4.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Interim results from the Phase 2a clinical trial to be presented at CTAD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Title: </w:t>
      </w:r>
      <w:r>
        <w:rPr>
          <w:rFonts w:ascii="Times New Roman" w:hAnsi="Times New Roman"/>
          <w:caps w:val="false"/>
          <w:smallCaps w:val="false"/>
          <w:sz w:val="20"/>
        </w:rPr>
        <w:t>Phase 2a clinical trial of the oral p38α kinase inhibitor neflamapimod in patients with non-fluent variant primary progressive aphasia</w:t>
        <w:br/>
      </w:r>
      <w:r>
        <w:rPr>
          <w:rFonts w:ascii="Times New Roman" w:hAnsi="Times New Roman"/>
          <w:b/>
          <w:caps w:val="false"/>
          <w:smallCaps w:val="false"/>
          <w:sz w:val="20"/>
        </w:rPr>
        <w:t xml:space="preserve">Poster Session: </w:t>
      </w:r>
      <w:r>
        <w:rPr>
          <w:rFonts w:ascii="Times New Roman" w:hAnsi="Times New Roman"/>
          <w:caps w:val="false"/>
          <w:smallCaps w:val="false"/>
          <w:sz w:val="20"/>
        </w:rPr>
        <w:t>Clinical Trials – Phase I &amp; IIA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Poster ID:</w:t>
      </w:r>
      <w:r>
        <w:rPr>
          <w:rFonts w:ascii="Times New Roman" w:hAnsi="Times New Roman"/>
          <w:caps w:val="false"/>
          <w:smallCaps w:val="false"/>
          <w:sz w:val="20"/>
        </w:rPr>
        <w:t xml:space="preserve"> P441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Presenter</w:t>
      </w:r>
      <w:r>
        <w:rPr>
          <w:rFonts w:ascii="Times New Roman" w:hAnsi="Times New Roman"/>
          <w:caps w:val="false"/>
          <w:smallCaps w:val="false"/>
          <w:sz w:val="20"/>
        </w:rPr>
        <w:t>: Ian M. Grant</w:t>
      </w: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w:t>
        <w:br/>
      </w:r>
      <w:r>
        <w:rPr>
          <w:rFonts w:ascii="Times New Roman" w:hAnsi="Times New Roman"/>
          <w:b/>
          <w:caps w:val="false"/>
          <w:smallCaps w:val="false"/>
          <w:sz w:val="20"/>
        </w:rPr>
        <w:t xml:space="preserve">Co-Authors: </w:t>
      </w:r>
      <w:r>
        <w:rPr>
          <w:rFonts w:ascii="Times New Roman" w:hAnsi="Times New Roman"/>
          <w:caps w:val="false"/>
          <w:smallCaps w:val="false"/>
          <w:sz w:val="20"/>
        </w:rPr>
        <w:t>Hugo Botha</w:t>
      </w:r>
      <w:r>
        <w:rPr>
          <w:rFonts w:ascii="Times New Roman" w:hAnsi="Times New Roman"/>
          <w:caps w:val="false"/>
          <w:smallCaps w:val="false"/>
          <w:position w:val="7"/>
          <w:sz w:val="16"/>
          <w:sz w:val="20"/>
        </w:rPr>
        <w:t>2</w:t>
      </w:r>
      <w:r>
        <w:rPr>
          <w:rFonts w:ascii="Times New Roman" w:hAnsi="Times New Roman"/>
          <w:caps w:val="false"/>
          <w:smallCaps w:val="false"/>
          <w:sz w:val="20"/>
        </w:rPr>
        <w:t>, Lawerance S. Honig</w:t>
      </w:r>
      <w:r>
        <w:rPr>
          <w:rFonts w:ascii="Times New Roman" w:hAnsi="Times New Roman"/>
          <w:caps w:val="false"/>
          <w:smallCaps w:val="false"/>
          <w:position w:val="7"/>
          <w:sz w:val="16"/>
          <w:sz w:val="20"/>
        </w:rPr>
        <w:t>3</w:t>
      </w:r>
      <w:r>
        <w:rPr>
          <w:rFonts w:ascii="Times New Roman" w:hAnsi="Times New Roman"/>
          <w:caps w:val="false"/>
          <w:smallCaps w:val="false"/>
          <w:sz w:val="20"/>
        </w:rPr>
        <w:t>, Douglas W. Scharre</w:t>
      </w:r>
      <w:r>
        <w:rPr>
          <w:rFonts w:ascii="Times New Roman" w:hAnsi="Times New Roman"/>
          <w:caps w:val="false"/>
          <w:smallCaps w:val="false"/>
          <w:position w:val="7"/>
          <w:sz w:val="16"/>
          <w:sz w:val="20"/>
        </w:rPr>
        <w:t>4</w:t>
      </w:r>
      <w:r>
        <w:rPr>
          <w:rFonts w:ascii="Times New Roman" w:hAnsi="Times New Roman"/>
          <w:caps w:val="false"/>
          <w:smallCaps w:val="false"/>
          <w:sz w:val="20"/>
        </w:rPr>
        <w:t>, Amanda Gardner</w:t>
      </w:r>
      <w:r>
        <w:rPr>
          <w:rFonts w:ascii="Times New Roman" w:hAnsi="Times New Roman"/>
          <w:caps w:val="false"/>
          <w:smallCaps w:val="false"/>
          <w:position w:val="7"/>
          <w:sz w:val="16"/>
          <w:sz w:val="20"/>
        </w:rPr>
        <w:t>5</w:t>
      </w:r>
      <w:r>
        <w:rPr>
          <w:rFonts w:ascii="Times New Roman" w:hAnsi="Times New Roman"/>
          <w:caps w:val="false"/>
          <w:smallCaps w:val="false"/>
          <w:sz w:val="20"/>
        </w:rPr>
        <w:t>, Kelly Blackburn</w:t>
      </w:r>
      <w:r>
        <w:rPr>
          <w:rFonts w:ascii="Times New Roman" w:hAnsi="Times New Roman"/>
          <w:caps w:val="false"/>
          <w:smallCaps w:val="false"/>
          <w:position w:val="7"/>
          <w:sz w:val="16"/>
          <w:sz w:val="20"/>
        </w:rPr>
        <w:t>5</w:t>
      </w:r>
      <w:r>
        <w:rPr>
          <w:rFonts w:ascii="Times New Roman" w:hAnsi="Times New Roman"/>
          <w:caps w:val="false"/>
          <w:smallCaps w:val="false"/>
          <w:sz w:val="20"/>
        </w:rPr>
        <w:t>, Bradley F. Boeve</w:t>
      </w:r>
      <w:r>
        <w:rPr>
          <w:rFonts w:ascii="Times New Roman" w:hAnsi="Times New Roman"/>
          <w:caps w:val="false"/>
          <w:smallCaps w:val="false"/>
          <w:position w:val="7"/>
          <w:sz w:val="16"/>
          <w:sz w:val="20"/>
        </w:rPr>
        <w:t>2</w:t>
      </w:r>
      <w:r>
        <w:rPr>
          <w:rFonts w:ascii="Times New Roman" w:hAnsi="Times New Roman"/>
          <w:caps w:val="false"/>
          <w:smallCaps w:val="false"/>
          <w:sz w:val="20"/>
        </w:rPr>
        <w:t>, John J. Alam</w:t>
      </w:r>
      <w:r>
        <w:rPr>
          <w:rFonts w:ascii="Times New Roman" w:hAnsi="Times New Roman"/>
          <w:caps w:val="false"/>
          <w:smallCaps w:val="false"/>
          <w:position w:val="7"/>
          <w:sz w:val="16"/>
          <w:sz w:val="20"/>
        </w:rPr>
        <w:t>5</w:t>
      </w:r>
      <w:r>
        <w:rPr>
          <w:rFonts w:ascii="Times New Roman" w:hAnsi="Times New Roman"/>
          <w:caps w:val="false"/>
          <w:smallCaps w:val="false"/>
          <w:sz w:val="20"/>
        </w:rPr>
        <w:t>, David J. Irwin</w:t>
      </w:r>
      <w:r>
        <w:rPr>
          <w:rFonts w:ascii="Times New Roman" w:hAnsi="Times New Roman"/>
          <w:caps w:val="false"/>
          <w:smallCaps w:val="false"/>
          <w:position w:val="7"/>
          <w:sz w:val="16"/>
          <w:sz w:val="20"/>
        </w:rPr>
        <w:t>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Affiliation: </w:t>
      </w:r>
      <w:r>
        <w:rPr>
          <w:rFonts w:ascii="Times New Roman" w:hAnsi="Times New Roman"/>
          <w:caps w:val="false"/>
          <w:smallCaps w:val="false"/>
          <w:sz w:val="20"/>
        </w:rPr>
        <w:t>1 Northwestern Feinberg School of Medicine 2 Mayo Clinic 3 Columbia University Irving School of Medicine, 4 The Ohio State University Wexner School of Medicine, 5 CervoMed 6 University of Pennsylvania Perelman School of Medicine</w:t>
        <w:b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Date/Time: </w:t>
      </w:r>
      <w:r>
        <w:rPr>
          <w:rFonts w:ascii="Times New Roman" w:hAnsi="Times New Roman"/>
          <w:caps w:val="false"/>
          <w:smallCaps w:val="false"/>
          <w:sz w:val="20"/>
        </w:rPr>
        <w:t>Monday, November 16 (2:00 p.m. ET) – Tuesday, November 17 (5:30 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nfvPPA</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NfvPPA, a type of FTD, gradually causes people with the condition to have trouble expressing themselves, although they still understand the meaning of words. Initially, they might use shorter phrases or pause while speaking and have difficulty pronouncing words. It can also be challenging for them to understand long or complex sentences. In advanced nfvPPA, people may stop speaking completely, and difficulty with planning and judgment, as well as moving, can also occur. There are an estimated 10,000-15,000 people living with nfvPPA in the U.S. and 15,000-20,000 in the E.U. Currently there are no approved treatments for nfvPPA in the U.S. or E.U.</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was granted Orphan Drug Designation by the U.S. FDA for FTD in 2024. Orphan Drug Designation is granted to investigational therapies addressing rare medical diseases that affect fewer than 200,000 people in the U.S. Orphan drug status provides benefits to drug developers, including assistance in the drug development process, tax credits for clinical costs, exemptions from certain FDA fees and seven years of post-approval marketing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b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recovery after ischemic stroke, and primary progressive aphasia.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In November 2025, CervoMed announced alignment with the FDA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the therapeutic potential of neflamapimod in DLB, nfvPPA, amyotrophic lateral sclerosis, or any other indication, including the degree of sustainability of any therapeutic effects; the anticipated timing and achievement of clinical and development milestones, including the anticipated data readouts from the Company’s Phase 2a trial in nfvPPA, the anticipated dosing of the first patient with neflamapimod in the EXPERTS-ALS trial, and the Company’s initiation of any Phase 3 trial in patients with DLB; the Company’s plan to focus on strategic partnering to advance neflamapimod into Phase 3 for DLB and the timing of entering into any such partnership, if at all; any other expected or implied benefits or results, including the extent (if any) to which neflamapimod may demonstrate efficacy or other clinical or biomarker improvements in patients; and expectations with respect to neflamapimod, including the timing of any regulatory submissions and potential approvals thereof, if any, in DLB or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including its ongoing Phase 2a clinical trial in patients with nfvPPA;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2217</Words>
  <Characters>12726</Characters>
  <CharactersWithSpaces>15025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