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333-282494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142875</wp:posOffset>
            </wp:positionV>
            <wp:extent cx="185166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2,500,000 Shares of Common Stock</w:t>
      </w:r>
    </w:p>
    <w:p>
      <w:pPr>
        <w:spacing w:after="0" w:line="22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2,500,000 shares of our common stock, par value $0.001 per share (“common stock”), to investors at an offering price of $4.00 per share, pursuant to this prospectus supplement and the accompanying prospectus.</w:t>
      </w:r>
    </w:p>
    <w:p>
      <w:pPr>
        <w:spacing w:after="0" w:line="16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Capital Market under the symbol “CRVO.” The last sale price of our shares of common stock on June 17, 2026 was $3.81 per share.</w:t>
      </w:r>
    </w:p>
    <w:p>
      <w:pPr>
        <w:spacing w:after="0" w:line="16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engaged H.C. Wainwright &amp; Co., LLC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188"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shares of common stock held by non-affiliates, or public float, was determined to be $32,126,620 based on 11,026,233 shares of common stock outstanding, of which 7,105,447 are held by non-affiliates, and the closing sale price of our shares of common stock on Nasdaq of $4.52 on June 16, 2026, which is within 60 days of the date of this prospectus supplement. Upon any sale of shares of common stock under this prospectus supplement pursuant to General Instruction I.B.6 of Form S-3, in no event will the aggregate market value of securities sold by us or on our behalf pursuant to General Instruction I.B.6 of Form S-3 during the twelve calendar month period immediately prior to, and including, the date of any such sale exceed one-third of our public float, calculated in accordance with General Instruction I.B.6 of Form S-3. During the prior twelve calendar month period that ends on, and includes, the date of this prospectus supplement (excluding this offering), we have not sold any of our securities pursuant to General Instruction I.B.6 of Form S-3.</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0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9,400,000.00</w:t>
            </w:r>
          </w:p>
        </w:tc>
      </w:tr>
    </w:tbl>
    <w:p>
      <w:pPr>
        <w:spacing w:after="0" w:line="198" w:lineRule="exact"/>
        <w:rPr>
          <w:sz w:val="24"/>
          <w:szCs w:val="24"/>
          <w:color w:val="auto"/>
        </w:rPr>
      </w:pPr>
    </w:p>
    <w:p>
      <w:pPr>
        <w:jc w:val="both"/>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fee of 6.0% of the aggregate gross proceeds raised in the offering. In addition, we have agreed to pay the placement agent a management fee equal to 1.0% of the gross proceeds raised in this offering, to reimburse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S-13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(2) Does not include proceeds from the exercise of the placement agent warrants to be issued to the placement agent in cash, if any.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be made on or about June 22, 2026, subject to satisfaction of customary closing conditions.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S-8 of this prospectus supplement and the risk factors incorporated by reference into this prospectus supplement and the accompanying base prospectus.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18,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60" w:type="dxa"/>
            <w:vAlign w:val="bottom"/>
          </w:tcPr>
          <w:p>
            <w:pPr>
              <w:spacing w:after="0"/>
              <w:rPr>
                <w:sz w:val="17"/>
                <w:szCs w:val="17"/>
                <w:color w:val="auto"/>
              </w:rPr>
            </w:pPr>
          </w:p>
        </w:tc>
      </w:tr>
      <w:tr>
        <w:trPr>
          <w:trHeight w:val="45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S-5</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THE SECURITIES WE ARE OFFERING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DOCUMENTS BY REFERENCE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S-16</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MARKET AND INDUSTRY DATA</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RIGHTS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S-3 (File No. 333-282494) utilizing a shelf registration process relating to the securities described in this prospectus supplement was initially filed with the Securities and Exchange Commission, or the SEC, on October 3, 2024 and was declared effective on October 10, 2024.</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“CervoMed,” the “Company,” “we,” “our” and “us” refer to CervoMed Inc., unless otherwise specified or the context otherwise requires.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“CervoMed,” the CervoMed logo and other trademarks, trade names or service marks of the Company appearing in this prospectus are the property of CervoMed Inc. Solely for convenience, the trademarks and trade names in this prospectus may be referred to without the ® and ™ symbols, but such references or the omission thereof should not be construed as any indicator that their respective owners will or will not assert their rights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also include statements regarding our intentions, beliefs, projections, outlook, analyses or expectations concerning, among other things:</w:t>
      </w:r>
    </w:p>
    <w:p>
      <w:pPr>
        <w:spacing w:after="0" w:line="162" w:lineRule="exact"/>
        <w:rPr>
          <w:sz w:val="20"/>
          <w:szCs w:val="20"/>
          <w:color w:val="auto"/>
        </w:rPr>
      </w:pPr>
    </w:p>
    <w:p>
      <w:pPr>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our ability to obtain additional financing in the future on acceptable terms or at all, and our ability to continue as a going concern;</w:t>
      </w:r>
    </w:p>
    <w:p>
      <w:pPr>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into a partnership to advance neflamapimod into Phase 3 for dementia with Lewy bodies (“DLB”) in a timely manner, on acceptable terms, or at all;</w:t>
      </w:r>
    </w:p>
    <w:p>
      <w:pPr>
        <w:jc w:val="both"/>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and timing of our ongoing and planned clinical trials and nonclinical studies, including our ability to enroll participants in our studies at anticipated rates, our ability to manufacture an adequate amount of drug supply for our studies, and changes to our drug candidates' formulations;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for our current or future product candidates and our proprietary technology;</w:t>
      </w:r>
    </w:p>
    <w:p>
      <w:pPr>
        <w:spacing w:after="0" w:line="17"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including contract research organizations, contract development and manufacturing organizations, manufacturers, suppliers, and outside consultants, to whom we outsource certain operations, staff and other functions;</w:t>
      </w:r>
    </w:p>
    <w:p>
      <w:pPr>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current or future product candidates and, if approved, our products, including the labeling under any approval we may obtain;</w:t>
      </w:r>
    </w:p>
    <w:p>
      <w:pPr>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develop and commercialize our current or future product candidates and the outcomes of our research and development activities;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obligations under the license agreement with Vertex Pharmaceuticals Incorporated;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recruit or retain key scientific or management personnel or to retain our executive officers;</w:t>
      </w:r>
    </w:p>
    <w:p>
      <w:pPr>
        <w:spacing w:after="0" w:line="36"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characteristics of the potential markets for our current or future product candidates, the rate and degree of market acceptance of any of our current or future product candidates that may be approved in the future, and our ability to serve those markets;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products that are, or may become, available which also target the potential markets for our current or future product candidates;</w:t>
      </w:r>
    </w:p>
    <w:p>
      <w:pPr>
        <w:spacing w:after="0" w:line="1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 and the potential for others to infringe upon our intellectual property rights;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breakdown, infiltration, or interruption of our information technology systems and infrastructure;</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and future legislation related to the healthcare system;</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developments in the US, European Union, and other foreign jurisdictions;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continued listing requirements of the Nasdaq or any other exchange on which our securities may trade in the future;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general economic, political, business, industry, and market conditions;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discussed under the heading “Risk Factors” herein and in our other public filings.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6518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651891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this prospectus supplement. You should also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carefully consider the matters discussed in the section in this prospectus supplement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developing treatments for age-related brain disorders. Our lead drug candidate, neflamapimod, is an investigational, orally administered small-molecule drug that readily crosses the blood–brain barrier and selectively inhibits the enzyme p38α,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our lead indication, as well as non-fluent variant primary progressive aphasia, recovery after stroke, and amyotrophic lateral sclerosis.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novel approach focuses on reducing the impact of neuroinflammation, which we believe is a key factor in the manifestation of degenerative diseases of the brain. Chronic activation of p38α in the brains of people with certain neurodegenerative diseases is believed to impair how neurons communicate through synapses. This synaptic dysfunction leads to deterioration of cognitive and motor abilities. Left untreated, synaptic dysfunction can result in irreversible neuronal loss that leads to devastating disabilities, significant reliance on a caretaker, long term care living, and, ultimately, death. However, before neuronal loss commences, disease progression in many major neurodegenerative disorders, including DLB, initially involves a protracted period of reversible functional loss, particularly with respect to the synapses. We believe that inhibiting p38α activity in the brain has the potential to reverse the clinical progression observed in the early-stages of certain neurodegenerative diseases, as well as slow further progression by delaying permanent synaptic dysfunction and neuron death, by interfering with key pathogenic drivers of disease.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we are a leader in the industry in developing a treatment for DLB, a disease with no approved therapies in the US or European Union despite being the second most common progressive dementia. Neflamapimod is the only clinical drug candidate that, to our knowledge, has shown statistically significant improvements on clinical endpoints and a biomarker of neurodegeneration in both a Phase 2a and Phase 2b clinical trial. Differentiating our approach from potential competitors, we believe we are also the only company specifically targeting the treatment of DLB patients without Alzheimer’s Disease (“AD”) co-pathology. While DLB patients with AD co-pathology generally have significant, irreversible neuronal loss, DLB without AD co-pathology is primarily a disease of functional deficits of synapses that we believe is more treatable. We believe if neflamapimod is given in the early stages of certain degenerative diseases of the brain like DLB without AD co-pathology, it may reverse synaptic dysfunction, improve neuron health and function, and slow further progression by delaying synaptic dysfunction and neuronal death. We believe this approach enhances the alignment of our development path with neflamapimod’s mechanism of action, reduces the heterogeneity of our target patient population, and provides the opportunity to demonstrate heightened clinical effect in shorter duration trials.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Allowance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16, 2026, we received a notice of allowance from the United States Patent and Trademark Office related to a new patent protecting the Company’s use of neflamapimod for the treatment of DLB in patients with no substantial AD-like tau pathology, which is expected to provide intellectual property protection into 2042 (without giving effect to any potential patent term extension).</w:t>
      </w: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738"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5284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5284470"/>
                    </a:xfrm>
                    <a:prstGeom prst="rect">
                      <a:avLst/>
                    </a:prstGeom>
                    <a:noFill/>
                  </pic:spPr>
                </pic:pic>
              </a:graphicData>
            </a:graphic>
          </wp:anchor>
        </w:drawing>
        <w:t>Private Placement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9, 2026, we entered into a securities purchase agreement with certain accredited investors named therein, pursuant to which we agreed to issue and sell, in a private placement (the “Private Placement”), an aggregate of 3,360,377 units (the “Units”), each Unit comprised of (i) (A) one share of common stock, or (B) one pre-funded warrant to purchase one share of common stock, and, in each case, (ii) one Series B warrant to purchase one share of common stock or a pre-funded warrant to purchase one share of common stock (each, a “Series B Warrant”), and (iii) one Series C warrant to purchase one share of common stock or a pre-funded warrant to purchase one share of common stock (each, a “Series C Warrant”), at an offering price of $3.14 per Unit. Each Series B Warrant and Series C Warrant was exercisable immediately and expire five-years and 12-months, respectively, from the initial exercise date. The Private Placement closed on June 11, 2026, and we received approximately $10.5 million in aggregate gross proceeds therefrom, before deducting placement agent fees and expenses and related offering expenses. Joshua Boger, Ph.D., the Chair of the Board of Directors of the Company, and trusts related to John Alam, M.D., the Chief Executive Officer and a Director of the Company, and Sylvie Grégoire, PharmD, a Director of the Company, participated in the Private Placement for an aggregate of 1,369,426 Units.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Delaware corporation that was incorporated in June 2015 and previously was named “Diffusion Pharmaceuticals Inc.” Prior to June 2015, we were a Nevada corporation. On August 16, 2023, we completed a merger transaction with EIP Pharma, Inc., a Delaware corporation, and changed our name to “CervoMed Inc.”</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maintain our principal executive offices at 20 Park Plaza, Suite 424, Boston, Massachusetts 02216.</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telephone number there is (617) 744-4400. The address of our website is www.cervomed.com.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what you might receive from other public reporting companies in which you hold equity interests.</w:t>
      </w:r>
    </w:p>
    <w:p>
      <w:pPr>
        <w:spacing w:after="0" w:line="3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738" w:right="3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8181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8181975"/>
                    </a:xfrm>
                    <a:prstGeom prst="rect">
                      <a:avLst/>
                    </a:prstGeom>
                    <a:noFill/>
                  </pic:spPr>
                </pic:pic>
              </a:graphicData>
            </a:graphic>
          </wp:anchor>
        </w:drawing>
        <w:t>THE OFFERING</w:t>
      </w:r>
    </w:p>
    <w:p>
      <w:pPr>
        <w:sectPr>
          <w:pgSz w:w="11900" w:h="16838" w:orient="portrait"/>
          <w:cols w:equalWidth="0" w:num="1">
            <w:col w:w="11000"/>
          </w:cols>
          <w:pgMar w:left="500" w:top="738" w:right="39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in This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 shares of our common stock, par value $0.001 per share</w:t>
      </w:r>
    </w:p>
    <w:p>
      <w:pPr>
        <w:spacing w:after="0" w:line="200" w:lineRule="exact"/>
        <w:rPr>
          <w:sz w:val="20"/>
          <w:szCs w:val="20"/>
          <w:color w:val="auto"/>
        </w:rPr>
      </w:pPr>
    </w:p>
    <w:p>
      <w:pPr>
        <w:sectPr>
          <w:pgSz w:w="11900" w:h="16838" w:orient="portrait"/>
          <w:cols w:equalWidth="0" w:num="2">
            <w:col w:w="3340" w:space="720"/>
            <w:col w:w="6940"/>
          </w:cols>
          <w:pgMar w:left="500" w:top="738" w:right="3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11,026,233 shares</w:t>
      </w:r>
    </w:p>
    <w:p>
      <w:pPr>
        <w:spacing w:after="0" w:line="200" w:lineRule="exact"/>
        <w:rPr>
          <w:sz w:val="20"/>
          <w:szCs w:val="20"/>
          <w:color w:val="auto"/>
        </w:rPr>
      </w:pPr>
    </w:p>
    <w:p>
      <w:pPr>
        <w:sectPr>
          <w:pgSz w:w="11900" w:h="16838" w:orient="portrait"/>
          <w:cols w:equalWidth="0" w:num="2">
            <w:col w:w="3820" w:space="240"/>
            <w:col w:w="6940"/>
          </w:cols>
          <w:pgMar w:left="500" w:top="738" w:right="399" w:bottom="1440" w:gutter="0" w:footer="0" w:header="0"/>
          <w:type w:val="continuous"/>
        </w:sectPr>
      </w:pPr>
    </w:p>
    <w:p>
      <w:pPr>
        <w:spacing w:after="0" w:line="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13,526,233 shares</w:t>
      </w:r>
    </w:p>
    <w:p>
      <w:pPr>
        <w:spacing w:after="0" w:line="437" w:lineRule="exact"/>
        <w:rPr>
          <w:sz w:val="20"/>
          <w:szCs w:val="20"/>
          <w:color w:val="auto"/>
        </w:rPr>
      </w:pPr>
    </w:p>
    <w:p>
      <w:pPr>
        <w:sectPr>
          <w:pgSz w:w="11900" w:h="16838" w:orient="portrait"/>
          <w:cols w:equalWidth="0" w:num="2">
            <w:col w:w="3440" w:space="620"/>
            <w:col w:w="6940"/>
          </w:cols>
          <w:pgMar w:left="500" w:top="73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the net proceeds from this offering will be approximately $9.1 million after deducting estimated offering expenses payable by us. We currently intend to use the net proceeds from this offering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S-10.</w:t>
      </w:r>
    </w:p>
    <w:p>
      <w:pPr>
        <w:spacing w:after="0" w:line="184" w:lineRule="exact"/>
        <w:rPr>
          <w:sz w:val="20"/>
          <w:szCs w:val="20"/>
          <w:color w:val="auto"/>
        </w:rPr>
      </w:pPr>
    </w:p>
    <w:p>
      <w:pPr>
        <w:sectPr>
          <w:pgSz w:w="11900" w:h="16838" w:orient="portrait"/>
          <w:cols w:equalWidth="0" w:num="2">
            <w:col w:w="3340" w:space="720"/>
            <w:col w:w="6940"/>
          </w:cols>
          <w:pgMar w:left="500" w:top="73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you decide to invest in our common stock, you should carefully read this prospectus supplement in its entirety and carefully consider the risks and uncertainties described in “Risk Factors” beginning on page S-8 of this prospectus supplement, beginning on page 6 of the accompanying base prospectus and in our Annual Report on Form 10-K for the fiscal year ended December 31, 2025, as such risk factors may be amended, updated or modified periodically in our reports filed with the SEC, and the financial data and related notes and the reports incorporated by reference herein and therein.</w:t>
      </w:r>
    </w:p>
    <w:p>
      <w:pPr>
        <w:spacing w:after="0" w:line="188" w:lineRule="exact"/>
        <w:rPr>
          <w:sz w:val="20"/>
          <w:szCs w:val="20"/>
          <w:color w:val="auto"/>
        </w:rPr>
      </w:pPr>
    </w:p>
    <w:p>
      <w:pPr>
        <w:sectPr>
          <w:pgSz w:w="11900" w:h="16838" w:orient="portrait"/>
          <w:cols w:equalWidth="0" w:num="2">
            <w:col w:w="3340" w:space="720"/>
            <w:col w:w="6940"/>
          </w:cols>
          <w:pgMar w:left="500" w:top="73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“CRVO”</w:t>
      </w:r>
    </w:p>
    <w:p>
      <w:pPr>
        <w:spacing w:after="0" w:line="200" w:lineRule="exact"/>
        <w:rPr>
          <w:sz w:val="20"/>
          <w:szCs w:val="20"/>
          <w:color w:val="auto"/>
        </w:rPr>
      </w:pPr>
    </w:p>
    <w:p>
      <w:pPr>
        <w:sectPr>
          <w:pgSz w:w="11900" w:h="16838" w:orient="portrait"/>
          <w:cols w:equalWidth="0" w:num="2">
            <w:col w:w="3340" w:space="720"/>
            <w:col w:w="6940"/>
          </w:cols>
          <w:pgMar w:left="500" w:top="738" w:right="399" w:bottom="1440" w:gutter="0" w:footer="0" w:header="0"/>
          <w:type w:val="continuous"/>
        </w:sectPr>
      </w:pPr>
    </w:p>
    <w:p>
      <w:pPr>
        <w:spacing w:after="0" w:line="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11,026,233 shares of our common stock outstanding as of June 11, 2026 and excludes the following securities:</w:t>
      </w:r>
    </w:p>
    <w:p>
      <w:pPr>
        <w:spacing w:after="0" w:line="162" w:lineRule="exact"/>
        <w:rPr>
          <w:sz w:val="20"/>
          <w:szCs w:val="20"/>
          <w:color w:val="auto"/>
        </w:rPr>
      </w:pPr>
    </w:p>
    <w:p>
      <w:pPr>
        <w:ind w:left="640" w:hanging="326"/>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555,834 shares of our common stock issuable upon exercise of options outstanding under the CervoMed Inc. 2015 Equity Incentive Plan, as amended (the “2015 Plan”), as of March 31, 2026, with a weighted average exercise price of $10.85;</w:t>
      </w:r>
    </w:p>
    <w:p>
      <w:pPr>
        <w:spacing w:after="0" w:line="161"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165,160 shares of our common stock issuable upon exercise of options outstanding under the CervoMed Inc. 2018 Employee, Director and Consultant Equity Incentive Plan, as amended (the “2018 Plan”), as of March 31, 2026, with a weighted average exercise price of $19.65;</w:t>
      </w:r>
    </w:p>
    <w:p>
      <w:pPr>
        <w:spacing w:after="0" w:line="161" w:lineRule="exact"/>
        <w:rPr>
          <w:rFonts w:ascii="Times New Roman" w:cs="Times New Roman" w:eastAsia="Times New Roman" w:hAnsi="Times New Roman"/>
          <w:sz w:val="18"/>
          <w:szCs w:val="18"/>
          <w:color w:val="auto"/>
        </w:rPr>
      </w:pPr>
    </w:p>
    <w:p>
      <w:pPr>
        <w:ind w:left="640" w:hanging="326"/>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364,100 shares of our common stock issuable upon exercise of options outstanding under the CervoMed Inc. 2025 Equity Incentive Plan (the “2025 Plan”), as of March 31, 2026, with a weighted average exercise price of $5.13;</w:t>
      </w:r>
    </w:p>
    <w:p>
      <w:pPr>
        <w:spacing w:after="0" w:line="161" w:lineRule="exact"/>
        <w:rPr>
          <w:rFonts w:ascii="Times New Roman" w:cs="Times New Roman" w:eastAsia="Times New Roman" w:hAnsi="Times New Roman"/>
          <w:sz w:val="18"/>
          <w:szCs w:val="18"/>
          <w:color w:val="auto"/>
        </w:rPr>
      </w:pPr>
    </w:p>
    <w:p>
      <w:pPr>
        <w:jc w:val="both"/>
        <w:ind w:left="640" w:right="20" w:hanging="326"/>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200,712 shares of common stock issuable upon the exercise of options issued as inducements material to new employees entering into employment with the Company in accordance with NASDAQ Listing Rule 5635(c)(4), as of March 31, 2026, with a weighted average exercise price of $9.73 per share;</w:t>
      </w:r>
    </w:p>
    <w:p>
      <w:pPr>
        <w:spacing w:after="0" w:line="175"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2,435,900 shares of our common stock reserved for future grant under the 2025 Plan;</w:t>
      </w:r>
    </w:p>
    <w:p>
      <w:pPr>
        <w:spacing w:after="0" w:line="252" w:lineRule="exact"/>
        <w:rPr>
          <w:rFonts w:ascii="Times New Roman" w:cs="Times New Roman" w:eastAsia="Times New Roman" w:hAnsi="Times New Roman"/>
          <w:sz w:val="18"/>
          <w:szCs w:val="18"/>
          <w:color w:val="auto"/>
        </w:rPr>
      </w:pPr>
    </w:p>
    <w:p>
      <w:pPr>
        <w:ind w:left="640" w:right="20" w:hanging="326"/>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10,889,520 shares of common stock issuable upon the exercise of outstanding warrants (including 1,592,863 pre-funded warrants), at a weighted average exercise price of $11.20 per share; and</w:t>
      </w:r>
    </w:p>
    <w:p>
      <w:pPr>
        <w:spacing w:after="0" w:line="197" w:lineRule="exact"/>
        <w:rPr>
          <w:rFonts w:ascii="Times New Roman" w:cs="Times New Roman" w:eastAsia="Times New Roman" w:hAnsi="Times New Roman"/>
          <w:sz w:val="18"/>
          <w:szCs w:val="18"/>
          <w:color w:val="auto"/>
        </w:rPr>
      </w:pPr>
    </w:p>
    <w:p>
      <w:pPr>
        <w:ind w:left="640" w:hanging="326"/>
        <w:spacing w:after="0" w:line="180" w:lineRule="auto"/>
        <w:tabs>
          <w:tab w:leader="none" w:pos="640" w:val="left"/>
        </w:tabs>
        <w:numPr>
          <w:ilvl w:val="0"/>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6"/>
          <w:szCs w:val="16"/>
          <w:color w:val="auto"/>
        </w:rPr>
        <w:t>150,000 shares of common stock issuable upon the exercise of warrants to be issued to the placement agent in connection with the offering, at a weighted average exercise price of $5.00</w:t>
      </w:r>
    </w:p>
    <w:p>
      <w:pPr>
        <w:spacing w:after="0" w:line="200" w:lineRule="exact"/>
        <w:rPr>
          <w:sz w:val="20"/>
          <w:szCs w:val="20"/>
          <w:color w:val="auto"/>
        </w:rPr>
      </w:pPr>
    </w:p>
    <w:p>
      <w:pPr>
        <w:ind w:left="1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outstanding stock options, warrants and placement agent warrants.</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738" w:right="39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sold in this offering, you will incur immediate dilution.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pro forma as adjusted net tangible book value per share of our common stock after giving effect to this offering and the Private Placement subsequent to March 31, 2026, you will suffer dilution with respect to the pro forma as adjusted net tangible book value of the shares of common stock you purchase in this offering. Based on an offering price of $4.00 per share and our pro forma as adjusted net tangible book value as of March 31, 2026, if you purchase securities in this offering, you will suffer immediate dilution of $1.83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thirty trading days from the closing of this offering, subject to customary exceptions. We further agreed not to issue any security that has a variable rate conversion or exercise component, for six months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substantial additional funding to meet our financial obligations and to pursue our business objectives.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raise capital when needed, we could be forced to curtail our planned operations and the pursuit of our growth strategy.</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require substantial future capital in order to complete planned and future clinical development for our lead product candidate, preclinical development for our other product candidates, and potential commercialization of these product candidates, if any are approved. We expect our spending levels to significantly increase in connection with our planned clinical trials of our lead product candidate. In addition, if we obtain marketing approval for any of our product candidates, we expect to incur significant expenses related to product sales, medical affairs, marketing, manufacturing and distribution. Accordingly, we will need to obtain substantial additional funding in connection with our continuing operations. If we are unable to raise capital when needed or on acceptable terms, we would be forced to delay, reduce or eliminate certain of our clinical trials, our research and development programs or other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including as a result of this offering, may cause dilution to our stockholders, restrict our operations or require us to relinquish rights to our product candidates.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or other capital sources, including licensing arrangements, partnerships and collaborations. To the extent that we raise additional capital through the sale of equity securities, including from this offering,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intellectual property, potential future revenue streams,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candidate development or future commercialization efforts or grant rights to third parties to develop and market product candidates that we would otherwise prefer to develop and market ourselves.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including in response to factors that are beyond our control. The stock market in general experiences extreme price and volume fluctuations. In particular, the market prices of securities of pharmaceutical and biotechnology companies are extremely volatile, and experience fluctuations that are often unrelated or disproportionate to the operating performance of these companies. These broad and sector-specific market fluctuations can result in extreme fluctuations in the price of our common stock, regardless of our operating performance, and can cause our stockholders to lose some or all of their investment in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We are selling the securities offered in this prospectus on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best efforts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and may not be able to sell any of the securities offered herein.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will be approximately $9.1 million after deducting the placement agent fees and estimated offering expenses payable by us.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March 31, 2026 was approximately $10.6 million, or $1.15 per share, based on 9,258,719 shares of our common stock outstanding at March 31, 2026.</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as of March 31, 2026, was approximately $20.2 million, or approximately $1.83 per share, on a pro forma basis to give effect to the Private Placement of 3,360,377 Units at the offering price of $3.14 per Unit that closed on June 11, 2026, in connection with which we issued 1,767,514 shares of our common stock and received approximately $9.6 million of aggregate net proceeds, after deducting estimated offering expenses payable by us.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2,500,000 shares of common stock at the offering price of $4.00 per share, after deducting the estimated placement agent’s fees and estimated offering expenses payable by us, our pro forma as adjusted net tangible book value on March 31, 2026, would have been approximately $29.3 million or $2.17 per share. This represents an immediate increase in the net tangible book value of $0.34 per share attributable to this offering and an immediate dilution of $1.83 per share to the new investors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the new investors:</w:t>
            </w: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7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9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March 31, 2026</w:t>
            </w: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1.15</w:t>
            </w:r>
          </w:p>
        </w:tc>
        <w:tc>
          <w:tcPr>
            <w:tcW w:w="94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on March 31, 2026</w:t>
            </w:r>
          </w:p>
        </w:tc>
        <w:tc>
          <w:tcPr>
            <w:tcW w:w="9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1.83</w:t>
            </w:r>
          </w:p>
        </w:tc>
        <w:tc>
          <w:tcPr>
            <w:tcW w:w="9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900" w:type="dxa"/>
            <w:vAlign w:val="bottom"/>
          </w:tcPr>
          <w:p>
            <w:pPr>
              <w:spacing w:after="0"/>
              <w:rPr>
                <w:sz w:val="18"/>
                <w:szCs w:val="18"/>
                <w:color w:val="auto"/>
              </w:rPr>
            </w:pPr>
          </w:p>
        </w:tc>
        <w:tc>
          <w:tcPr>
            <w:tcW w:w="16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0.34</w:t>
            </w:r>
          </w:p>
        </w:tc>
        <w:tc>
          <w:tcPr>
            <w:tcW w:w="940" w:type="dxa"/>
            <w:vAlign w:val="bottom"/>
          </w:tcPr>
          <w:p>
            <w:pPr>
              <w:spacing w:after="0"/>
              <w:rPr>
                <w:sz w:val="18"/>
                <w:szCs w:val="18"/>
                <w:color w:val="auto"/>
              </w:rPr>
            </w:pPr>
          </w:p>
        </w:tc>
      </w:tr>
      <w:tr>
        <w:trPr>
          <w:trHeight w:val="198"/>
        </w:trPr>
        <w:tc>
          <w:tcPr>
            <w:tcW w:w="7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March 31, 2026, after giving effect to this</w:t>
            </w:r>
          </w:p>
        </w:tc>
        <w:tc>
          <w:tcPr>
            <w:tcW w:w="9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9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900" w:type="dxa"/>
            <w:vAlign w:val="bottom"/>
          </w:tcPr>
          <w:p>
            <w:pPr>
              <w:spacing w:after="0"/>
              <w:rPr>
                <w:sz w:val="20"/>
                <w:szCs w:val="20"/>
                <w:color w:val="auto"/>
              </w:rPr>
            </w:pPr>
          </w:p>
        </w:tc>
        <w:tc>
          <w:tcPr>
            <w:tcW w:w="1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9,258,719, 11,026,233 and 13,526,233 actual, pro forma and pro forma as adjusted shares of our common stock outstanding as of March 31, 2026, respectively, and excludes the following securities:</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555,834 shares of our common stock issuable upon exercise of options outstanding under the 2015 Plan as of March 31, 2026, with a weighted average exercise price of $10.85;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165,160 shares of our common stock issuable upon exercise of options outstanding under the 2018 Plan as of March 31, 2026, with a weighted average exercise price of $19.65;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364,100 shares of our common stock issuable upon exercise of options outstanding under the 2025 Plan as of March 31, 2026, with a weighted average exercise price of $5.13;</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200,712 shares of common stock issuable upon the exercise of options issued as inducements material to new employees entering into employment with the Company in accordance with NASDAQ Listing Rule 5635(c)(4), as of March 31, 2026, with a weighted average exercise price of $9.73 per share;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2,435,900 shares of our common stock reserved for future grant under the 2025 Plan;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10,889,520 shares of common stock issuable upon the exercise of outstanding warrants (including 1,592,863 pre-funded warrants), at a weighted average exercise price of $11.20 per share;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shares of common stock issuable upon the exercise of warrants to be issued to the placement agent in connection with the offering, at a weighted average exercise price of $5.00.</w:t>
      </w:r>
    </w:p>
    <w:p>
      <w:pPr>
        <w:spacing w:after="0" w:line="162"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outstanding stock options, warrants and placement agent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the rights associated with the common stock, see “Description of Capital Stock” in the accompanying prospectus. Our common stock is listed on The Nasdaq Capital Market under the symbol “CRVO.” Our transfer agent is Computershare Investor Services,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an engagement letter agreement dated June 16, 2026, we have engaged Wainwright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placement agent proposes to arrange for the sale of the securities we are offering pursuant to this prospectus supplement and accompanying prospectus to one or more institutional or accredited investors through a securities purchase agreement directly between the purchaser and us. We will only sell to such investors who have entered into the securities purchase agreement with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June 22, 2026, subject to satisfaction of customary closing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cash fee of 6.0%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600,000.00</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9,400,000.00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the placement agent for its non-accountable expenses in the amount of $35,000, for its fees and expenses of legal counsel in the amount of up to $50,000, and for its clearing expenses in the amount of $15,950. We estimate the total offering expenses of this offering that will be payable by us, excluding the placement agent’s fees and expenses, will be approximately $125,000.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will issue to the placement agent, or its designees, warrants to purchase up to 150,000 shares of common stock (or pre-funded warrants in lieu thereof). The placement agent warrants will be exercisable immediately, will have an exercise price equal to $5.00 (or $4.999 per pre-funded warrant if elected) and will be for a term of five years after the commencement of the offering.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that we entered into with the investor prohibits, with certain limited exceptions, us: (i) for thirty days following the closing date from issuing any shares of common stock or Common Stock Equivalents (as defined in the securities purchase agreement) or filing any registration statement (subject to certain exceptions), and (ii) for six months following the closing date from issuing any shares of common stock or Common Stock Equivalents in a Variable Rate Transaction (as defined in the securities purchase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any investor whom the placement agent had brought over-the-wall in connection with the offering provides any capital to us, in a public or private offering or other financing or capital-raising transaction of any kind, within the twelve months following the expiration of termination of the engagement of the placement agent, we shall pay the placement agent the cash and warrant compensation provided above, calculated in the same manner, subject to certain exceptions.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Investor Services,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shares of Common Stock trade on the Nasdaq Capital Market under the ticker symbol “CRVO.”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CervoMed Inc. and its subsidiaries as of December 31, 2025 and 2024 and for the years then ended incorporated in this prospectus supplement by reference from the CervoMed Inc. Annual Report on Form 10-K for the year ended December 31, 2025, have been audited by RSM US LLP, an independent registered public accounting firm, as stated in their report thereon (which report on the consolidated financial statements expresses an unqualified opinion and includes an explanatory paragraph relating to the Company’s ability to continue as a going concern), incorporated herein by reference, and have been incorporated in this prospectus supplement and registration statement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maintain a website at http://www.cervomed.com, through which you can access our SEC filings. The information set forth on our website is not part of this prospectus supplement or the accompanying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13, 2026;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15, 2026;</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3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2026 that are deemed “filed” with the SEC under the Exchange Act;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10, 2026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June 18, 2026</w:t>
        </w:r>
      </w:hyperlink>
      <w:hyperlink r:id="rId33">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jc w:val="both"/>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included in the description of securities filed as </w:t>
      </w:r>
      <w:hyperlink r:id="rId35">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2025, filed with the SEC on March 13, 2026, as such description has been amended, and any amendments and reports we may file with the SEC for the purpose of updating such description.</w:t>
      </w:r>
    </w:p>
    <w:p>
      <w:pPr>
        <w:spacing w:after="0" w:line="176"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after the date of this prospectus supplement and prior to the termination of the offering shall also be deemed to be incorporated by reference into this prospectus supplement. The most recent information that we file with the SEC automatically updates and supersedes older information. The information contained in any such filing will be deemed to be a part of this prospectus supplement, commencing on the date on which the document is filed.</w:t>
      </w:r>
    </w:p>
    <w:p>
      <w:pPr>
        <w:spacing w:after="0" w:line="180" w:lineRule="exact"/>
        <w:rPr>
          <w:rFonts w:ascii="Times New Roman" w:cs="Times New Roman" w:eastAsia="Times New Roman" w:hAnsi="Times New Roman"/>
          <w:sz w:val="18"/>
          <w:szCs w:val="18"/>
          <w:color w:val="0000EE"/>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spacing w:after="0" w:line="183" w:lineRule="exact"/>
        <w:rPr>
          <w:rFonts w:ascii="Times New Roman" w:cs="Times New Roman" w:eastAsia="Times New Roman" w:hAnsi="Times New Roman"/>
          <w:sz w:val="18"/>
          <w:szCs w:val="18"/>
          <w:color w:val="0000EE"/>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or all of the documents incorporated by reference in this prospectus supplement by writing or telephoning us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CervoMed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20 Park Plaza, Suite 424</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744-4400</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may also access these documents on our website, http://www.cervomed.com. The information contained on, or that can be accessed through, our website is not a part of this prospectus supplement. We have included our website address in this prospectus supplement solely as an inactive textual reference.</w:t>
      </w:r>
    </w:p>
    <w:p>
      <w:pPr>
        <w:spacing w:after="0" w:line="176"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333-282494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165100</wp:posOffset>
            </wp:positionV>
            <wp:extent cx="1851660"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8516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CERVOMED INC.</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Preferred Stock</w:t>
      </w:r>
    </w:p>
    <w:p>
      <w:pPr>
        <w:ind w:left="5060"/>
        <w:spacing w:after="0"/>
        <w:rPr>
          <w:sz w:val="20"/>
          <w:szCs w:val="20"/>
          <w:color w:val="auto"/>
        </w:rPr>
      </w:pPr>
      <w:r>
        <w:rPr>
          <w:rFonts w:ascii="Times New Roman" w:cs="Times New Roman" w:eastAsia="Times New Roman" w:hAnsi="Times New Roman"/>
          <w:sz w:val="20"/>
          <w:szCs w:val="20"/>
          <w:b w:val="1"/>
          <w:bCs w:val="1"/>
          <w:color w:val="auto"/>
        </w:rPr>
        <w:t>Debt Securities</w:t>
      </w:r>
    </w:p>
    <w:p>
      <w:pPr>
        <w:ind w:left="5260"/>
        <w:spacing w:after="0"/>
        <w:rPr>
          <w:sz w:val="20"/>
          <w:szCs w:val="20"/>
          <w:color w:val="auto"/>
        </w:rPr>
      </w:pPr>
      <w:r>
        <w:rPr>
          <w:rFonts w:ascii="Times New Roman" w:cs="Times New Roman" w:eastAsia="Times New Roman" w:hAnsi="Times New Roman"/>
          <w:sz w:val="20"/>
          <w:szCs w:val="20"/>
          <w:b w:val="1"/>
          <w:bCs w:val="1"/>
          <w:color w:val="auto"/>
        </w:rPr>
        <w:t>Warrants</w:t>
      </w:r>
    </w:p>
    <w:p>
      <w:pPr>
        <w:ind w:left="5440"/>
        <w:spacing w:after="0"/>
        <w:rPr>
          <w:sz w:val="20"/>
          <w:szCs w:val="20"/>
          <w:color w:val="auto"/>
        </w:rPr>
      </w:pPr>
      <w:r>
        <w:rPr>
          <w:rFonts w:ascii="Times New Roman" w:cs="Times New Roman" w:eastAsia="Times New Roman" w:hAnsi="Times New Roman"/>
          <w:sz w:val="20"/>
          <w:szCs w:val="20"/>
          <w:b w:val="1"/>
          <w:bCs w:val="1"/>
          <w:color w:val="auto"/>
        </w:rPr>
        <w:t>Units</w:t>
      </w:r>
    </w:p>
    <w:p>
      <w:pPr>
        <w:ind w:left="2440"/>
        <w:spacing w:after="0"/>
        <w:rPr>
          <w:sz w:val="20"/>
          <w:szCs w:val="20"/>
          <w:color w:val="auto"/>
        </w:rPr>
      </w:pPr>
      <w:r>
        <w:rPr>
          <w:rFonts w:ascii="Times New Roman" w:cs="Times New Roman" w:eastAsia="Times New Roman" w:hAnsi="Times New Roman"/>
          <w:sz w:val="20"/>
          <w:szCs w:val="20"/>
          <w:b w:val="1"/>
          <w:bCs w:val="1"/>
          <w:color w:val="auto"/>
        </w:rPr>
        <w:t>Rights to Purchase Common Stock, Preferred Stock, Debt Securities or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may offer and sell from time to time shares of our common stock; shares of our preferred stock; debt securities, which may be issued in one or more series and which may be senior debt securities or subordinated debt securities; warrants to purchase shares of our common stock, shares of our preferred stock or our debt securities; units that include any of the foregoing securities; and rights to purchase shares of our common stock, shares of our preferred stock, our debt securities or units. We may sell any combination of these securities in one or more offerings, at prices and on terms to be determined prior to the time of the offering, with an aggregate offering price of up to $250,000,000.</w:t>
      </w:r>
    </w:p>
    <w:p>
      <w:pPr>
        <w:spacing w:after="0" w:line="183"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you with a general description of the securities we may offer. Each time we offer securities pursuant to this prospectus, we will provide a prospectus supplement containing specific terms of the particular offering together with this base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any accompanying prospectus supplement and any related free writing prospectus, as well as any documents incorporated by reference herein or therein, before you invest in any of our securities. </w:t>
      </w:r>
      <w:r>
        <w:rPr>
          <w:rFonts w:ascii="Times New Roman" w:cs="Times New Roman" w:eastAsia="Times New Roman" w:hAnsi="Times New Roman"/>
          <w:sz w:val="18"/>
          <w:szCs w:val="18"/>
          <w:b w:val="1"/>
          <w:bCs w:val="1"/>
          <w:color w:val="auto"/>
        </w:rPr>
        <w:t>This prospectus may not be used to consummate a sale of securities unless accompanied by the accompanying prospectus supplement.</w:t>
      </w:r>
    </w:p>
    <w:p>
      <w:pPr>
        <w:spacing w:after="0" w:line="18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“CRVO.” On October 9, 2024, the last reported sale price of our common stock was $12.82.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number of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on page 6 of this base prospectus.</w:t>
      </w:r>
    </w:p>
    <w:p>
      <w:pPr>
        <w:spacing w:after="0" w:line="17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may offer and sell securities to or through underwriting syndicates or dealers, through agents or directly to purchasers. The names of any underwriters, dealers or agents that participate in a sale or offer of securities pursuant to this prospectus, any applicable commissions or discounts, the price to the public of the securities offered or sold, and the net proceeds we expect to receive from such sale will, in each case, be stated in an accompanying prospectus supplement. In addition, the underwriters, if any, may over-allot a portion of the securities.</w:t>
      </w:r>
    </w:p>
    <w:p>
      <w:pPr>
        <w:spacing w:after="0" w:line="176" w:lineRule="exact"/>
        <w:rPr>
          <w:sz w:val="20"/>
          <w:szCs w:val="20"/>
          <w:color w:val="auto"/>
        </w:rPr>
      </w:pPr>
    </w:p>
    <w:p>
      <w:pPr>
        <w:jc w:val="both"/>
        <w:ind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date of this prospectus is October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886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SUMMARY</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 OF WARRANTS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 OF RIGHTS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 OF UNITS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8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Securities and Exchange Commission (the “SEC”) utilizing a “shelf” registration process. Under this shelf registration process, we may sell from time to time any combination of the securities described in this prospectus in one or more offerings up to a total dollar amount of $250,000,000. This prospectus only provides you with a general description of the securities we may offer. Each time we sell securities under this shelf registration, we will provide a prospectus supplement that will contain specific information about the terms of that offering, including the specific amounts, prices and terms of the securities offered. We may also provide or authorize to be provided one or more free writing prospectuses that may contain material information relating to an offering. The prospectus supplement and any related free writing prospectus that we may provide or authorize to be provided may also add, update or change information contained in this base prospectus or in any documents that we have incorporated by reference into this prospectus. You should read this prospectus, any accompanying prospectus supplement and any related free writing prospectus prepared by or on behalf of us, together with the additional information described under the heading, “Where You Can Find More Information” and “Information Incorporated by Reference.”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accompanied by a prospectus supplement.</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or incorporated by reference in this prospectus, any accompanying prospectus supplement and any related free writing prospectus that we may provide or authorize to be provided to you. We have not authorized anyone to provide any information or to make any representation other than those contained or incorporated by reference in this prospectus, any accompanying prospectus supplement, or any related free writing prospectus. You must not rely upon any information or representation not contained or incorporated by reference in this prospectus, the accompanying prospectus supplement or related free writing prospectus. We take no responsibility for, and can provide no assurance as to the reliability of, any other information that others may give you.</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any related free writing prospectus, if any, do not constitute an offer to sell or the solicitation of an offer to buy any securities other than the registered securities to which they relate, nor do this prospectus, any accompanying prospectus supplement or any related free writing prospectus constitute an offer to sell or the solicitation of an offer to buy securities in any jurisdiction to any person to whom it is unlawful to make such offer or solicitation in such jurisdiction.</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any accompanying prospectus supplement or any related free writing prospectus is accurate on any date subsequent to the date set forth on the front cover or that any information we have incorporated by reference herein is correct on any date subsequent to the date of the document incorporated by reference, even though this prospectus, any accompanying prospectus supplement or any related free writing prospectus is delivered, or the applicable securities are sold, on a later date.</w:t>
      </w:r>
    </w:p>
    <w:p>
      <w:pPr>
        <w:spacing w:after="0" w:line="18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may sell our securities to or through underwriters, initial purchasers, dealers, or agents, directly to purchasers or through a combination of any of these methods of sale, as designated from time to time. We and our agents, if any, reserve the sole right to accept or reject in whole or in part any proposed purchase of our securities. An accompanying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8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“CervoMed,” the “Company,” “we,” “our” and “us” refer to CervoMed Inc., unless otherwise specified or the context otherwise requires.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“CervoMed,” the CervoMed logo and other trademarks, trade names or service marks of the Company appearing in this prospectus are the property of CervoMed Inc. Solely for convenience, the trademarks and trade names in this prospectus may be referred to without the ® and ™ symbols, but such references or the omission thereof should not be construed as any indicator that their respective owners will or will not assert their rights thereto.</w:t>
      </w:r>
    </w:p>
    <w:p>
      <w:pPr>
        <w:spacing w:after="0" w:line="176"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Except as otherwise noted, references to “common stock” in this registration statement refer to the common stock, par value $0.001 per share, of the Company and give effect to the Company’s one-for-1.5 reverse stock split effected on August 16,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Certain market and industry data included in this prospectus were obtained from independent third-party surveys, market research, publicly available information, reports of governmental agencies and industry publications and surveys. All of the market and industry data used in this prospectus involve a number of assumptions and limitations, and you are cautioned not to give undue weight to such estimates. Although we are responsible for all of the disclosure contained in this prospectus and we believe the information from the industry publications and other third-party sources included in this prospectus is reliable, such information is inherently imprecise. The industry in which we operate is subject to a high degree of uncertainty, volatility,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information contained in other parts of this prospectus or incorporated by reference into this prospectus from our filings with the SEC. As it is only a summary, it does not contain all of the information that you should consider before purchasing our securities and it is qualified in its entirety by, and should be read in conjunction with, the accompanying prospectus supplement, any related free writing prospectus, and the more detailed information appearing elsewhere or incorporated by reference into this prospectus. You should read the entire prospectus, any accompanying prospectus supplement, the registration statement of which this prospectus is a part, and the information incorporated by reference herein in their entirety, including the information contained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financial statements and the related notes contained in and incorporated by reference into this prospectus, before purchasing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CervoMed Business 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clinical-stage company developing treatments for age-related neurologic disorders. We are currently focused on developing our lead drug candidate, neflamapimod, an investigational, orally administered, small molecule brain penetrant that inhibits p38 mitogen-activated protein kinase alpha (“p38α”). Neflamapimod has the potential to treat synaptic dysfunction, the reversible aspect of the underlying neurodegenerative processes that cause disease in Dementia with Lewy Bodies (“DLB”), and certain other major neurological disorders, and is currently being evaluated in our ongoing Phase 2b clinical trial (“RewinD-LB Trial”), evaluating neflamapimod for treatment of patients with DLB who have not progressed to a point where they have biomarker or imaging evidence of hippocampal atrophy, or Early-Stage DLB, funded by a $21.0 million grant from the National Institute on Aging of the National Institute of Health (the “NIA”).</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we are a leader in the industry in developing a treatment for DLB, as we are the only company of which we are aware with an asset that has shown statistically significant improvements compared to placebo in a Phase 2a clinical trial (our AscenD-LB Trial) and has initiated a Phase 2b clinical evaluation (our ongoing RewinD-LB Trial), from which we expect topline results in December 2024. The clinical symptoms in DLB are most directly linked to synaptic dysfunction in cholinergic neurons (i.e., neurons producing the neurotransmitter acetylcholine) in a part of the brain named the basal forebrain. Based on available preclinical and clinical data, we believe if neflamapimod is given in the early stages of certain degenerative diseases of the brain, it may reverse synaptic dysfunction and improve neuron health and function. In preclinical studies, neflamapimod has been shown to reverse the neurodegenerative process in the basal forebrain cholinergic (“BFC”) system and correct the behavioral deficits that result from synaptic dysfunction in the BFC system. Following earlier clinical studies demonstrating blood-brain-barrier penetration, target engagement, and identification of dose-response, we obtained positive clinical data in patients with DLB in our Phase 2a clinical trial (“AscenD-LB Trial”). Specifically, statistically significant improvement was observed in patients treated with neflamapimod compared to patients treated with placebo on measures of dementia severity (as measured by Clinical Dementia Rating Sum of Boxes test (“CDR-SB”)) and functional mobility (i.e., walking ability, as measured by the Timed Up and Go test (“TUG”)) in the primary (intention-to-treat) analysis, which includes all patients randomized into the study that had at least one measurement of the endpoint analyzed. In addition, in a secondary analysis evaluating the higher of two doses in the study (40 mg three times daily), neflamapimod demonstrated statistically significant improvement compared to placebo in a battery of cognitive tests, particularly with respect to tests that measured attention. These preclinical results and the primary results of the AscenD-LB Trial were published in the journal Nature Communications in September 2022.</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October 2023, the major clinical neurology journal, Neurology, published additional analyses of the AscenD-LB Trial data that further strengthened these conclusions regarding neflamapimod’s potential and identified the DLB patient population most responsive to neflamapimod treatment. In these analyses, the study results were stratified by pre-treatment levels of plasma ptau181, which recent scientific literature has identified as a blood-based biomarker to differentiate advanced DLB patients – in whom there is significant, irreversible neuronal loss in the hippocampus and associated alzheimer’s disease (“AD”) co-pathology – from Early-Stage DLB patients — in whom the disease is limited to synaptic dysfunction in the basal forebrain, a reversible component of the disease, and there is no associated AD co-pathology. It is estimated that Early-Stage DLB patients comprise approximately 50% of the total diagnosed DLB patient population at any given time and that the remaining 50% is comprised of patients with advanced DLB, which is sometimes referred to in the scientific literature as “DLB-AD” or a form of “mixed dementia.” In patients with a plasma ptau181 level of less than 2.2 pg/mL, the treatment response to neflamapimod in the AscenD-LB Trial was substantially greater than the overall patient population, with a Cohen’s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xml:space="preserve"> effect size ≥ 0.7 and statistically significant vs. placebo on the CDR-SB, TUG, cognitive tests of attention and working memory. In a February 2024 publication in the Journal of Prevention of Alzheimer’s Disease, results from our prior clinical trials of neflamapimod in AD and DLB were integrated to show not only the demonstrated effects of neflamapimod on cognition and function, but on other biomarkers such as electroencephalogram and basal forebrain volume and functional connectivity by magnetic resonance imaging (“MRI”).</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ongoing RewinD-LB Trial is a double-blind, placebo-controlled, 16-week Phase 2b study that enrolled 159 patients with Early-Stage DLB, and is funded by a $21.0 million grant from the NIA. The trial is intended to confirm the efficacy findings from the AscenD-LB Trial and definitively demonstrate proof-of-concept. We have utilized our subsequent analyses of the AscenD-LB Trial data and the other information described above to optimize the RewinD-LB Trial’s design and bolster the trial’s statistical power. Critically, the RewinD-LB Trial excluded patients with advanced DLB as evaluated by plasma ptau181 levels (i.e., the study only enrolled patients with Early-Stage DLB). To enrich for such patients during screening, the global Clinical Dementia Rating score at entry was limited to 0.5 or 1.0; based on the enrollment data in our AscenD-LB and RewinD-LB Trials, among these patients with mild or very mild dementia, we estimate that the percentage of patients with Early-Stage DLB is substantially higher (approximately 66% among patients screened in RewinD-LB) as compared to the overall DLB population as a whole (approximately 50%). Together with additional modifications to the AscenD-LB Trial design related to dosing regimen (40 mg three times daily) and primary endpoint (CDR-SB), sample size calculations indicate that the RewinD-LB Phase Trial has greater than 95% statistical power (approaching 100%) to meet its primary objective of demonstrating improvement relative to placebo on change in CDR-SB, a global measure of dementia severity, over the course of the study.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We completed enrollment in the RewinD-LB Trial in June 2024, anticipate the “last patient, last visit” for the 16-week placebo-controlled phase of the study to occur in October 2024, and expect to report topline results from the placebo-controlled phase of the study in December 2024. The results of the RewinD-LB Trial are intended to provide the data necessary to finalize our design of a Phase 3 clinical trial, the general framework of which, including a 24-week treatment duration, is based on prior discussions with and feedback from the FDA.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2024, we initiated a Phase 2a study in Strasbourg, France, which will evaluate neflamapimod in up to 20 DLB patients with mild cognitive impairment (MoCA score &gt;= 18 during screening). The primary objective of the study will be to obtain additional pharmacokinetic data on a dosing regimen not previously used in any of our clinical trials (80 mg BID) that may provide additional dosing flexibility for certain patient populations or indications we may target in the future. On an exploratory basis, we will also collect data on basal forebrain atrophy, as measured by MRI, and a broad range of clinical endpoints.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neflamapimod’s potential to treat DLB, we believe the benefit of targeting neuroinflammation-induced synaptic dysfunction in the BFC system can be applied to other neurologic indications in which treatment of BFC dysfunction and degeneration would be expected to be clinically beneficial, including as treatment promoting recovery in the three months after ischemic stroke, as a disease-modifying treatment for early-stage Alzheimer’s disease, and as a treatment for certain forms of frontotemporal dementia.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12"/>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by reference, as described under the caption “Information Incorporated by Reference” on page 25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Delaware corporation that was incorporated in June 2015 and previously was named “Diffusion Pharmaceuticals Inc.” (“Diffusion”). Prior to June 2015, we were a Nevada corporation. On August 16, 2023, we completed a merger transaction (the “Merger”) with EIP Pharma, Inc. (“EIP”), a Delaware corporation, and changed our name to “CervoMed Inc.”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maintain our principal executive offices at 20 Park Plaza, Suite 424, Boston, Massachusetts 02216.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telephone number there is (617) 744-4400. The address of our website is www.cervomed.com. The information set forth on, or connected to, our website is expressly not incorporated by reference into, and does not constitute a part of, this prospectus.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as amended (the “Exchange Act”), and have elected to take advantage of certain of the scaled disclosure available for smaller reporting companies in this prospectus as well as our filings under the Exchange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website as soon as reasonably practicable after we electronically file such material with, or furnish it to, the SEC.</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and preferred stock, various series of debt securities, warrants and rights to purchase shares of common stock or preferred stock, debt securities or units, as well as units to purchase any of such securities, with a total aggregate offering price of up to $250,000,000, from time to time and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252"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any;</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United States federal income tax considerations.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prospectus supplement and any related free writing prospectus that we may provide or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76" w:lineRule="exact"/>
        <w:rPr>
          <w:sz w:val="20"/>
          <w:szCs w:val="20"/>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or refreshable options, if any; and</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Prior to making a decision about investing in our securities, you should consider carefully all of the information included or incorporated by reference in this prospectus and any applicable prospectus supplement, including, without limitation, the risk factors in the section entitled “Risk Factors” included in our Annual Report on Form 10-K filed with the SEC on March 29, 2024, which is incorporated by reference in this prospectus, as well as the risk factors set forth in any applicable prospectus supplement and the other reports we file from time to time with the SEC that are incorporated by reference in this prospectus or the applicable prospectus supplement. Each of these risk factors could have a material and adverse effect on our business, results of operations, financial position, or cash flows, which may result in the loss of all or part of your investment.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other information and documents incorporated by reference herein include forward-looking statements within the meaning of Section 27A of the Securities Act of 1933, as amended (the “Securities Act”), and Section 21E of the Exchange Act. We may, in some cases, use terms such as “believes,” “estimates,” “anticipates,” “expects,” “plans,” “intends,” “may,” “could,” “might,” “will,” “should,” “approximately” or other words that convey uncertainty of future events or outcomes to identify these forward-looking statements. Forward-looking statements appear in and are incorporated by reference into a number of places throughout this prospectus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our product candidates, our intellectual property position, the degree of clinical utility of our products, particularly in specific patient populations, expectations regarding clinical trial data, our ability to commercialize our product candidates, our results of operations, cash needs, financial condition, liquidity, prospects, growth and strategies, the industry in which we operate and the trends that may affect the industry or us.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competitive dynamics and industry change, and depend on the economic circumstances that may or may not occur in the future or may occur on longer or shorter timelines than anticipated. Although we believe that we have a reasonable basis for each forward-looking statement contained in or incorporated by reference into this prospectus,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and incorporated by reference into this prospectus. In addition, even if our results of operations, financial condition and liquidity, and the development of the industry in which we operate are consistent with the forward-looking statements contained in and incorporated by reference into this prospectus, they may not be predictive of results or developments in future periods.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Actual results could differ materially from our forward-looking statements due to a number of factors, including risks related to:</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and our ability to obtain additional financing in the future and continue as a going concern;</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and timing of our ongoing Phase 2b clinical trial in patients with DLB and our other clinical and preclinical studies, including our ability to enroll subjects in our studies at anticipated rates and our ability to manufacture an adequate amount of drug supply for our studies;</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for our current or future product candidates and our proprietary technology;</w:t>
      </w:r>
    </w:p>
    <w:p>
      <w:pPr>
        <w:spacing w:after="0" w:line="1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including contract research organizations, manufacturers, suppliers, and outside consultants, to whom we outsource certain operational, staff and other functions;</w:t>
      </w: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current or future product candidates and, if approved, our products, including the labeling under any approval we may obtain;</w:t>
      </w: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develop and commercialize our current or future product candidates and the outcomes of our research and development activities;</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obligations under our license agreement with Vertex Pharmaceuticals Incorporated;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recruit or retain key scientific or management personnel or to retain our executive officers;</w:t>
      </w:r>
    </w:p>
    <w:p>
      <w:pPr>
        <w:spacing w:after="0" w:line="36"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characteristics of the potential markets for our current or future product candidates, the rate and degree of market acceptance of any of our current or future product candidates that may be approved in the future, and our ability to serve those markets;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products that are or may become available which also target the potential markets for our current or future product candidates;</w:t>
      </w:r>
    </w:p>
    <w:p>
      <w:pPr>
        <w:spacing w:after="0" w:line="1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 and the potential for others to infringe upon our intellectual property rights;</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breakdown, infiltration, or interruption of our information technology systems and infrastructure;</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our previously disclosed material weaknesses in our internal controls over financial reporting in a timely manner;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the historical businesses of EIP and Diffusion and realize the anticipated benefits of the Merger;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and future legislation related to the healthcare system;</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developments in the United States, European Union, and other foreign jurisdictions;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continued listing requirements of The NASDAQ Capital Market or any other exchange on which our securities may trade in the future;</w:t>
      </w: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general economic, political, business, industry, and market conditions, including the continued availability of funding for the NIA to support disbursements under our previously received grant and</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discussed under the heading "Risk Factors" herein and in our other public filings.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contained in this prospectus, any accompanying prospectus supplement and any related free writing prospectus, and incorporated by reference herein from our Annual Report on Form 10-K filed with the SEC on March 29, 2024, as updated by annual, quarterly and other reports and documents we file with the SEC after the date of this prospectus and that are incorporated by reference herein to better understand the risks and uncertainties inherent in our business and underlying any forward-looking statements. As a result of these factors, we cannot assure you that the forward-looking statements contained in or incorporated by reference into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forward-looking statements that we make in or incorporate by reference into this prospectus speak only as of the date of such statement, and, except as required by applicable law, we undertake no obligation to update such statements to reflect events or circumstances after the date of this prospectus or to reflect the occurrence of unanticipated events. Comparisons of results for current and any prior periods are not intended to express any future trends or indications of future performance, unless expressed as such, and should only be viewed as historical data.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otherwise indicated in any applicable prospectus supplement and in any free writing prospectuses in connection with a specific offering, we currently intend to use the net proceeds from the sale of securities offered hereby, if any, to fund research and development of our lead product candidate, neflamapimod, including clinical trial activities, and for other general corporate purposes, including working capital, capital expenditures and general and administrative expenses.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these uses, we intend to invest the net proceeds of any offering under this prospectus in short-term, investment-grade, interest-bearing securities, money market funds, and/or certificates of deposit.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Capitalization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and 30,000,000 shares of preferred stock, $0.001 par value, all of which remains undesignated. The following summary is qualified in its entirety by reference to our certificate of incorporation (as amended, the “Certificate of Incorporation”), a copy of which is filed as an exhibit to our previous filings with the SEC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Authorized</w:t>
      </w:r>
      <w:r>
        <w:rPr>
          <w:rFonts w:ascii="Times New Roman" w:cs="Times New Roman" w:eastAsia="Times New Roman" w:hAnsi="Times New Roman"/>
          <w:sz w:val="18"/>
          <w:szCs w:val="18"/>
          <w:color w:val="auto"/>
        </w:rPr>
        <w:t>. We are authorized to issue 1,000,000,000 shares of common stock, of which 8,253,741 shares were issued and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15, 2024. We may amend from time to time our Certificate of Incorporation to increase the number of authorized shares of common stock. Any such amendment would require the approval of the holders of a majority of the voting power of the shares entitled to vote thereon.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For all matters submitted to a vote of stockholders, each holder of common stock is entitled to one vote for each share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name on our books. Our common stock does not have cumulative voting rights. At all meetings of the stockholders, except where otherwise provided by law, the Certificate of Incorporation or the Company’s Bylaws (as amended, the “Bylaws”), the presence, in person or by proxy duly authorized, of the holders of at least 33.4% of the outstanding shares of common stock entitled to vote constitutes a quorum for the transaction of business. Except as otherwise provided by law or by the Certificate of Incorporation or Bylaws, in all matters other than the election of directors, the affirmative vote of the majority of shares of common stock present in person or represented by proxy at the meeting and entitled to vote generally on the subject matter shall be the act of the stockholders. Except as otherwise provided by law, the Certificate of Incorporation or Bylaws, directors are elected by a plurality of the votes of the shares of common stock present in person or represented by proxy at the meeting and entitled to vote generally on the election of directors.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limitations under Delaware law and any preferences that may be applicable to any then outstanding preferred stock,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are entitled to receive ratably those dividends, if any, as may be declared by our board of directors (the “Board”) out of legally available funds.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Upon our liquidation, dissolution or winding up, the holders of common stock will be entitled to share ratably in the net assets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distribution to stockholders after the payment of all of our debts and other liabilities of our company, subject to any prior rights of any preferred stock then outstanding.</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Fully Paid and Non-assessable</w:t>
      </w:r>
      <w:r>
        <w:rPr>
          <w:rFonts w:ascii="Times New Roman" w:cs="Times New Roman" w:eastAsia="Times New Roman" w:hAnsi="Times New Roman"/>
          <w:sz w:val="18"/>
          <w:szCs w:val="18"/>
          <w:color w:val="auto"/>
        </w:rPr>
        <w:t>. All shares of our outstanding common stock are fully paid and non-assessable and any additional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that we issue will be fully paid and non-assessable.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Other Rights and Restrictions</w:t>
      </w:r>
      <w:r>
        <w:rPr>
          <w:rFonts w:ascii="Times New Roman" w:cs="Times New Roman" w:eastAsia="Times New Roman" w:hAnsi="Times New Roman"/>
          <w:sz w:val="18"/>
          <w:szCs w:val="18"/>
          <w:color w:val="auto"/>
        </w:rPr>
        <w:t>. Holders of common stock do not have preemptive or subscription rights, and they have no right to convert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into any other securities. There are no redemption or sinking fund provisions applicable to common stock. The rights, preferences and privileges of common stockholders are subject to the rights of the stockholders of any series of preferred stock which we may designate in the future. Our Certificate of Incorporation and Bylaws do not restrict the ability of a holder of common stock to transfer the holder’s shares of common stock.</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Our common stock is quoted on The NASDAQ Capital Market under the symbol “CRVO.” As of June 30, 2024, there were 114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common stock is Computershare Investor Services, LLC, 150 Royall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Canton, Massachusetts, telephone number: 1-800-942-5909.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June 30, 2024, no shares of preferred stock of the Company were issued or outstanding. Our Certificate of Incorporation authorizes our Board to provide for the issuance of up to 30,000,000 shares of preferred stock in one or more series. Our Board is authorized to classify or reclassify any unissued portion of our authorized shares of preferred stock to provide for the issuance of shares of other classes or series, including preferred stock in one or more series. We may issue preferred stock from time to time in one or more classes or series, with the exact terms of each class or series established by our Board. Without seeking stockholder approval, our Board may issue preferred stock with voting and other rights that could adversely affect the voting power of the holders of our common stock. Additionally, the issuance of preferred stock may have the effect of decreasing the market price of the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The rights, preferences, privileges and restrictions of the preferred stock of each series will be fixed by the certificate of designation relating to each series. A prospectus supplement relating to each series will specify the terms of the preferred stock, including, but not limited to:</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and the maximum number of shares in the series;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dividends, if any, will be paid;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on the shares of the series;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on which the shares of the series shall be convertible into, or exchangeable for, shares of any other class or classes of capital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the shares may be redeemed, if at all;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rights, restrictions, including restrictions on transferability, and qualifications of shares of the series.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issuance of preferred stock may delay, deter or prevent a change in control.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describe the specific terms of a particular series of preferred stock in the prospectus supplement relating to that series. The description of preferred stock above and the description of the terms of a particular series of preferred stock in the prospectus supplement are not complete. You should refer to the applicable certificate of designation for complete information. The prospectus supplement will contain a description of United States federal income tax consequences relating to the preferred stock.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number of shares outstanding (a) shares owned by persons who are directors and also officers of the corporation and (b) shares issued under employee stock plans under which employee participants do not have the right to determine whether shares held subject to the plan will be tendered in a tender or exchange offer;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its stock owned by the interested stockholder;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60" w:right="20" w:firstLine="648"/>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(the “Debt Securities”) will be either senior debt securities (the “Senior Debt Securities”) or subordinated debt securities (the “Subordinated Debt Securities”). The Senior Debt Securities and the Subordinated Debt Securities will be issued under separate indentures among us, the subsidiary guarantors of such Debt Securities, if any, each a Subsidiary Guarantor, if applicable, and a trustee to be determined, the Trustee. Senior Debt Securities will be issued under a senior indenture (the “Senior Indenture”) and Subordinated Debt Securities will be issued under a subordinated indenture (the “ Subordinated Indenture,” and together with the Senior Indenture, the “Indentures”). The form of each Indenture has been filed with the SEC as an exhibit to the registration statement of which this prospectus is a part, and you should read the Indentures for provisions that may be important to you.</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in effect on the date of the indenture (the “Trust Indenture Act”). We use the term “debenture trustee” to refer to either the trustee under the senior indenture or the trustee under the subordinated indenture, as applicable. The following summaries of material provisions of the Debt Securities are subject to, and qualified in their entirety by reference to, all the provisions of the indenture applicable to a particular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the Debt Securities shall be set forth in, or determined pursuant to, an authorizing resolution and/or a supplemental indenture, if any, relating to such series.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Debt Securities: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aggregate principal amount of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United States federal income tax considerations applicable to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Debt Securities, if other than denominations of $1,000 and any integral multiple thereof;</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Debt Securities or Subordinated Debt Securities and, if Subordinated Debt Securities, the related subordination terms;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subsidiary guarantor will provide a subsidiary guarantee of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on which the principal of the Debt Securities will be payable;</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date interest will begin to accrue, that the Debt Securities will bear and the interest payment dates for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place where payments on the Debt Securities will be payable;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upon which the Debt Securities may be redeemed, in whole or in part, at our option;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or otherwise repurchase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if less than all, of the Debt Securities that will be payable upon declaration of acceleration of the maturity of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defeasible;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in the Indenture applicable to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w:t>
      </w:r>
    </w:p>
    <w:p>
      <w:pPr>
        <w:spacing w:after="0" w:line="25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Debt Securities, including any Debt Securities that provide for an amount less than the principal amount thereof to be due and payable upon a declaration of acceleration of the maturity thereof, or original issue discount securities (“Original Issue Discount Securities”) may be sold at a substantial discount below their principal amount. Special United States federal income tax considerations applicable to Original Issue Discount Securities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satisfactory in form to the debenture trustee.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any applicable Indenture may constitute an event of default under certain of our other indebtedness outstanding from time to time.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We will periodically file statements with the applicable debenture trustee regarding our compliance with specified covenants in the applicable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and punctually pay or cause to be paid amounts owing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15 business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subordinate and junior in priority of payment to certain of our other indebtedness to the extent described in a prospectus supplement. The Indentures do not limit the amount of indebtedness we may incur. The Indentures also do not limit us from issuing any other secured or unsecured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warrant agreement, if any, including a form of warrant certificate, if any,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of holding or exercising the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or agreement representing the warrants to be exercised together with specified information, and paying the required amount to the warrant agent in immediately available funds, as provided in the applicable prospectus supplement. We will set forth on the reverse side of the warrant certificate or agreement and in the applicable prospectus supplement the information that the holder of the warrant will be required to deliver to the warrant agent.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or agreement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or agreement are exercised, then we will issue a new warrant certificate or agreement for the remaining amount of warrants. If we so indicate in the applicable prospectus supplement, holders of the warrants may surrender securities as all or part of the exercise price for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rights we may issue, including some or all of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rights;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or a formula for the determination of the subscription price for the rights and the currency or currencies in which the subscription price may be payable;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rights are issued and the number of rights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the rights issued to each stockholder;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debt securities, the principal amount of debt securities purchasable upon exercise of one right;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common stock or preferred stock, the type of stock and number of shares of stock purchasable upon exercise of one right;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(subject to any extension);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rights that may be exercised at any one time;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rights of any merger, consolidation, sale or other disposition of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rights;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other purchase arrangement that we may enter into in connection with the rights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United States Federal income tax considerations;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debt securities, shares of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each unit and to any common stock, preferred stock, debt security or warrant included in each unit,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sell the securities, from time to time, to or through underwriters or dealers, through agents or remarketing firms, or directly to one or more purchasers pursuant to:</w:t>
      </w:r>
    </w:p>
    <w:p>
      <w:pPr>
        <w:spacing w:after="0" w:line="16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underwritten public offerings;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within the meaning of Rule 415(a)(4) of the Securities Act, into an existing trading market, at prevailing market prices; or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these methods.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sell the securities to or through one or more underwriters or dealers (acting as principal or agent), through agents, or directly to one or more purchasers.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distribute securities from time to time in one or more transactions:</w:t>
      </w:r>
    </w:p>
    <w:p>
      <w:pPr>
        <w:spacing w:after="0" w:line="22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or agents, if 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securities being registered are to be offered otherwise than for cash, the general purposes of the distribution, the basis upon which the securities are to be offered, the amount of compensation and other expenses of distribution, and by whom they are to be borne;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and relationships of any finders, if applicable;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the maximum compensation to the underwriters or dealers in connection with the sale by the Company of its securities pursuant to this prospectus and the accompanying supplement to this prospectus may not exceed 8% of the aggregate offering price of the securities as set forth on the cover page of any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we offer may be new issues of securities and may have no established trading market. The securities may or may not be listed on a securities exchange. Underwriters may make a market in these securities, but will not be obligated to do so and may discontinue any market making at any time without notice. We can make no assurance as to the liquidity of, or the existence of trading markets for, any of the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underwriters that are qualified market makers on The NASDAQ Capital Market may engage in passive market making transactions in the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Mintz, Levin, Cohn, Ferris, Glovsky &amp; Popeo, P.C., Boston Massachusetts, will pass for us upon the validity of the securities being offered by this prospectus. Additional legal matters may be passed upon for any underwriters, dealers or agents by counsel that we will name in the applicable prospectus supplement.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2023 and 2022 and for each of the years then ended incorporated in this prospectus by reference from our Annual Report on Form 10-K for the year ended December 31, 2023 have been audited by RSM US LLP, an independent registered public accounting firm, as stated in their report thereon (which report expresses an unqualified opinion and includes an explanatory paragraph relating to our ability to continue as a going concern), incorporated herein by reference, and have been incorporated in this prospectus and registration statement in reliance upon such report and upon the authority of such firm as experts in accounting and auditing.</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and file annual reports on Form 10-K, quarterly reports on Form 10-Q, current reports on Form 8-K, proxy statements and other information and amendments to those reports filed or furnished with the SEC. SEC filings are available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www.cervomed.com,</w:t>
      </w:r>
      <w:r>
        <w:rPr>
          <w:rFonts w:ascii="Times New Roman" w:cs="Times New Roman" w:eastAsia="Times New Roman" w:hAnsi="Times New Roman"/>
          <w:sz w:val="18"/>
          <w:szCs w:val="18"/>
          <w:color w:val="auto"/>
        </w:rPr>
        <w:t xml:space="preserve"> through which you can access our SEC filings. The information set forth on our website is not part of this prospectus.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SEC allows us to incorporate by reference information into this prospectus. This means we can disclose information to you by referring you to another document we filed with the SEC. The information incorporated by reference is deemed to be part of this prospectus, and subsequent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from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This prospectus incorporates by reference the following documents (other than any portion of the respective filings furnished, rather than filed, under the applicable SEC rules) that we have filed with the SEC but have not included or delivered with this prospectus:</w:t>
      </w:r>
    </w:p>
    <w:p>
      <w:pPr>
        <w:spacing w:after="0" w:line="194"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64">
        <w:r>
          <w:rPr>
            <w:rFonts w:ascii="Times New Roman" w:cs="Times New Roman" w:eastAsia="Times New Roman" w:hAnsi="Times New Roman"/>
            <w:sz w:val="18"/>
            <w:szCs w:val="18"/>
            <w:u w:val="single" w:color="auto"/>
            <w:color w:val="0000EE"/>
          </w:rPr>
          <w:t>March 29, 2024</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(i) March 31, 2024 filed with the SEC on </w:t>
      </w:r>
      <w:hyperlink r:id="rId65">
        <w:r>
          <w:rPr>
            <w:rFonts w:ascii="Times New Roman" w:cs="Times New Roman" w:eastAsia="Times New Roman" w:hAnsi="Times New Roman"/>
            <w:sz w:val="18"/>
            <w:szCs w:val="18"/>
            <w:u w:val="single" w:color="auto"/>
            <w:color w:val="0000EE"/>
          </w:rPr>
          <w:t>May 14, 2024</w:t>
        </w:r>
      </w:hyperlink>
      <w:r>
        <w:rPr>
          <w:rFonts w:ascii="Times New Roman" w:cs="Times New Roman" w:eastAsia="Times New Roman" w:hAnsi="Times New Roman"/>
          <w:sz w:val="18"/>
          <w:szCs w:val="18"/>
          <w:color w:val="auto"/>
        </w:rPr>
        <w:t xml:space="preserve">, and (ii) June 30, 2024 filed with the SEC on </w:t>
      </w:r>
      <w:hyperlink r:id="rId66">
        <w:r>
          <w:rPr>
            <w:rFonts w:ascii="Times New Roman" w:cs="Times New Roman" w:eastAsia="Times New Roman" w:hAnsi="Times New Roman"/>
            <w:sz w:val="18"/>
            <w:szCs w:val="18"/>
            <w:u w:val="single" w:color="auto"/>
            <w:color w:val="0000EE"/>
          </w:rPr>
          <w:t>August 9, 2024</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January 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18, 2024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 2024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3,</w:t>
        </w:r>
      </w:hyperlink>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and</w:t>
        </w:r>
      </w:hyperlink>
    </w:p>
    <w:p>
      <w:pPr>
        <w:spacing w:after="0" w:line="202"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included in the description of securities filed as Exhibit 4.16 to our Annual Report on Form 10-K for the year ended December 31, 2023, filed with the SEC on </w:t>
      </w:r>
      <w:hyperlink r:id="rId64">
        <w:r>
          <w:rPr>
            <w:rFonts w:ascii="Times New Roman" w:cs="Times New Roman" w:eastAsia="Times New Roman" w:hAnsi="Times New Roman"/>
            <w:sz w:val="18"/>
            <w:szCs w:val="18"/>
            <w:u w:val="single" w:color="auto"/>
            <w:color w:val="0000EE"/>
          </w:rPr>
          <w:t>March 29, 2024</w:t>
        </w:r>
      </w:hyperlink>
      <w:r>
        <w:rPr>
          <w:rFonts w:ascii="Times New Roman" w:cs="Times New Roman" w:eastAsia="Times New Roman" w:hAnsi="Times New Roman"/>
          <w:sz w:val="18"/>
          <w:szCs w:val="18"/>
          <w:color w:val="auto"/>
        </w:rPr>
        <w:t>, as such description has been amended, and any amendment or report the Registrant may file with the SEC for the purpose of updating such description.</w:t>
      </w:r>
    </w:p>
    <w:p>
      <w:pPr>
        <w:spacing w:after="0" w:line="176"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after the date of this prospectus and any accompanying prospectus supplement and prior to the termination of the offering shall also be deemed to be incorporated by reference into this prospectus. The most recent information that we file with the SEC automatically updates and supersedes older information. The information contained in any such filing will be deemed to be a part of this prospectus, commencing on the date on which the document is filed.</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or all of the documents incorporated by reference in this prospectus by writing or telephoning us at the following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CervoMed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Park Plaza, Suite 424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5500" w:hanging="438"/>
        <w:spacing w:after="0"/>
        <w:tabs>
          <w:tab w:leader="none" w:pos="5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744-4400</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20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www.cervomed.com</w:t>
      </w:r>
      <w:r>
        <w:rPr>
          <w:rFonts w:ascii="Times New Roman" w:cs="Times New Roman" w:eastAsia="Times New Roman" w:hAnsi="Times New Roman"/>
          <w:sz w:val="18"/>
          <w:szCs w:val="18"/>
          <w:color w:val="auto"/>
        </w:rPr>
        <w:t>. The information contained on, or that can be accessed through, our website is not a part of this prospectus.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156845</wp:posOffset>
            </wp:positionV>
            <wp:extent cx="1851660" cy="497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8516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H.C. Wainwright &amp; Co.</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9019"/>
      </w:cols>
      <w:pgMar w:left="1440" w:top="12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617"/>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jpeg"/><Relationship Id="rId30" Type="http://schemas.openxmlformats.org/officeDocument/2006/relationships/hyperlink" Target="http://www.sec.gov/ix?doc=/Archives/edgar/data/0001053691/000143774926008259/crvo20251231_10k.htm" TargetMode="External"/><Relationship Id="rId31" Type="http://schemas.openxmlformats.org/officeDocument/2006/relationships/hyperlink" Target="http://www.sec.gov/ix?doc=/Archives/edgar/data/0001053691/000143774926017236/crvo20260331c_10q.htm" TargetMode="External"/><Relationship Id="rId32" Type="http://schemas.openxmlformats.org/officeDocument/2006/relationships/hyperlink" Target="http://www.sec.gov/ix?doc=/Archives/edgar/data/0001053691/000143774926014032/crvo20260428_def14a.htm" TargetMode="External"/><Relationship Id="rId33" Type="http://schemas.openxmlformats.org/officeDocument/2006/relationships/hyperlink" Target="http://www.sec.gov/ix?doc=/Archives/edgar/data/0001053691/000143774926020672/crvo20260615_8k.htm" TargetMode="External"/><Relationship Id="rId34" Type="http://schemas.openxmlformats.org/officeDocument/2006/relationships/hyperlink" Target="http://www.sec.gov/ix?doc=/Archives/edgar/data/0001053691/000143774926021038/crvo20260618c_8k.htm" TargetMode="External"/><Relationship Id="rId35" Type="http://schemas.openxmlformats.org/officeDocument/2006/relationships/hyperlink" Target="http://www.sec.gov/Archives/edgar/data/1053691/000143774924010064/ex_643086.htm" TargetMode="External"/><Relationship Id="rId64" Type="http://schemas.openxmlformats.org/officeDocument/2006/relationships/hyperlink" Target="http://www.sec.gov/ix?doc=/Archives/edgar/data/0001053691/000143774924010064/crvo20231231_10k.htm" TargetMode="External"/><Relationship Id="rId65" Type="http://schemas.openxmlformats.org/officeDocument/2006/relationships/hyperlink" Target="http://www.sec.gov/ix?doc=/Archives/edgar/data/0001053691/000143774924016615/crvo20240331_10q.htm" TargetMode="External"/><Relationship Id="rId66" Type="http://schemas.openxmlformats.org/officeDocument/2006/relationships/hyperlink" Target="http://www.sec.gov/ix?doc=/Archives/edgar/data/0001053691/000143774924025875/crvo20240630_10q.htm" TargetMode="External"/><Relationship Id="rId67" Type="http://schemas.openxmlformats.org/officeDocument/2006/relationships/hyperlink" Target="http://www.sec.gov/ix?doc=/Archives/edgar/data/0001053691/000143774924008315/crvo20240318_8k.htm" TargetMode="External"/><Relationship Id="rId68" Type="http://schemas.openxmlformats.org/officeDocument/2006/relationships/hyperlink" Target="http://www.sec.gov/ix?doc=/Archives/edgar/data/0001053691/000143774924030613/crvo2024100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2026-06-22T05:17:52Z</dcterms:created>
  <dcterms:modified xsi:type="dcterms:W3CDTF">2026-06-22T05:17:52Z</dcterms:modified>
</cp:coreProperties>
</file>